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10E0BE" w14:textId="77777777" w:rsidR="00801272" w:rsidRPr="00C80C6F" w:rsidRDefault="009B7718">
      <w:pPr>
        <w:jc w:val="center"/>
        <w:rPr>
          <w:rFonts w:ascii="Work Sans" w:hAnsi="Work Sans"/>
        </w:rPr>
      </w:pPr>
      <w:r w:rsidRPr="00C80C6F">
        <w:rPr>
          <w:rFonts w:ascii="Work Sans" w:hAnsi="Work Sans"/>
          <w:b/>
          <w:sz w:val="48"/>
        </w:rPr>
        <w:t>UNDERSTANDING COMMON LABORATORY TESTS</w:t>
      </w:r>
    </w:p>
    <w:p w14:paraId="098A829D" w14:textId="77777777" w:rsidR="00801272" w:rsidRPr="00C80C6F" w:rsidRDefault="009B7718">
      <w:pPr>
        <w:jc w:val="center"/>
        <w:rPr>
          <w:rFonts w:ascii="Work Sans" w:hAnsi="Work Sans"/>
        </w:rPr>
      </w:pPr>
      <w:r w:rsidRPr="00C80C6F">
        <w:rPr>
          <w:rFonts w:ascii="Work Sans" w:hAnsi="Work Sans"/>
          <w:i/>
        </w:rPr>
        <w:t>Patient &amp; Clinician Educational Material</w:t>
      </w:r>
    </w:p>
    <w:p w14:paraId="21C16D3F" w14:textId="20F52C1E" w:rsidR="00801272" w:rsidRPr="00C80C6F" w:rsidRDefault="009B7718">
      <w:pPr>
        <w:rPr>
          <w:rFonts w:ascii="Work Sans" w:hAnsi="Work Sans"/>
        </w:rPr>
      </w:pPr>
      <w:r w:rsidRPr="00C80C6F">
        <w:rPr>
          <w:rFonts w:ascii="Work Sans" w:hAnsi="Work Sans"/>
        </w:rPr>
        <w:t xml:space="preserve">This document contains revised, patient-friendly descriptions of selected laboratory tests and panels. It is suitable as a content draft for a laboratory website </w:t>
      </w:r>
    </w:p>
    <w:p w14:paraId="1488C3CF" w14:textId="77777777" w:rsidR="00801272" w:rsidRPr="00C80C6F" w:rsidRDefault="009B7718" w:rsidP="00A9687A">
      <w:pPr>
        <w:jc w:val="both"/>
        <w:rPr>
          <w:rFonts w:ascii="Work Sans" w:hAnsi="Work Sans"/>
        </w:rPr>
      </w:pPr>
      <w:r w:rsidRPr="00C80C6F">
        <w:rPr>
          <w:rFonts w:ascii="Work Sans" w:hAnsi="Work Sans"/>
        </w:rPr>
        <w:br w:type="page"/>
      </w:r>
    </w:p>
    <w:p w14:paraId="5DCC9F55" w14:textId="5F3B2584" w:rsidR="00801272" w:rsidRPr="00C80C6F" w:rsidRDefault="00764806" w:rsidP="00764806">
      <w:pPr>
        <w:pStyle w:val="Heading1"/>
        <w:numPr>
          <w:ilvl w:val="0"/>
          <w:numId w:val="10"/>
        </w:numPr>
        <w:jc w:val="both"/>
        <w:rPr>
          <w:rFonts w:ascii="Work Sans" w:hAnsi="Work Sans"/>
        </w:rPr>
      </w:pPr>
      <w:r>
        <w:rPr>
          <w:rFonts w:ascii="Work Sans" w:hAnsi="Work Sans"/>
        </w:rPr>
        <w:lastRenderedPageBreak/>
        <w:t xml:space="preserve">Advanced </w:t>
      </w:r>
      <w:r w:rsidR="009B7718" w:rsidRPr="00C80C6F">
        <w:rPr>
          <w:rFonts w:ascii="Work Sans" w:hAnsi="Work Sans"/>
        </w:rPr>
        <w:t>HBV, HCV &amp; HIV Screening</w:t>
      </w:r>
    </w:p>
    <w:p w14:paraId="0E09767E" w14:textId="77777777" w:rsidR="00801272" w:rsidRPr="00C80C6F" w:rsidRDefault="009B7718" w:rsidP="00A9687A">
      <w:pPr>
        <w:jc w:val="center"/>
        <w:rPr>
          <w:rFonts w:ascii="Work Sans" w:hAnsi="Work Sans"/>
        </w:rPr>
      </w:pPr>
      <w:r w:rsidRPr="00C80C6F">
        <w:rPr>
          <w:rFonts w:ascii="Work Sans" w:hAnsi="Work Sans"/>
          <w:noProof/>
        </w:rPr>
        <w:drawing>
          <wp:inline distT="0" distB="0" distL="0" distR="0" wp14:anchorId="3390A8EB" wp14:editId="4FAD0355">
            <wp:extent cx="5669280" cy="5669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v_hcv_hiv_screening.jpg"/>
                    <pic:cNvPicPr/>
                  </pic:nvPicPr>
                  <pic:blipFill>
                    <a:blip r:embed="rId6"/>
                    <a:stretch>
                      <a:fillRect/>
                    </a:stretch>
                  </pic:blipFill>
                  <pic:spPr>
                    <a:xfrm>
                      <a:off x="0" y="0"/>
                      <a:ext cx="5669280" cy="5669280"/>
                    </a:xfrm>
                    <a:prstGeom prst="rect">
                      <a:avLst/>
                    </a:prstGeom>
                  </pic:spPr>
                </pic:pic>
              </a:graphicData>
            </a:graphic>
          </wp:inline>
        </w:drawing>
      </w:r>
    </w:p>
    <w:p w14:paraId="1C1387DB" w14:textId="77777777" w:rsidR="00801272" w:rsidRPr="00C80C6F" w:rsidRDefault="009B7718" w:rsidP="00A9687A">
      <w:pPr>
        <w:jc w:val="both"/>
        <w:rPr>
          <w:rFonts w:ascii="Work Sans" w:hAnsi="Work Sans"/>
        </w:rPr>
      </w:pPr>
      <w:r w:rsidRPr="00C80C6F">
        <w:rPr>
          <w:rFonts w:ascii="Work Sans" w:hAnsi="Work Sans"/>
          <w:b/>
        </w:rPr>
        <w:t>Hepatitis B virus (HBV), hepatitis C virus (HCV), and human immunodeficiency virus (HIV) are important blood-borne infections. Laboratory testing can detect infection, support diagnosis, and—when appropriate—help monitor treatment.</w:t>
      </w:r>
    </w:p>
    <w:p w14:paraId="344FAC5C" w14:textId="77777777" w:rsidR="00801272" w:rsidRPr="00C80C6F" w:rsidRDefault="009B7718" w:rsidP="00A9687A">
      <w:pPr>
        <w:pStyle w:val="Heading2"/>
        <w:jc w:val="both"/>
        <w:rPr>
          <w:rFonts w:ascii="Work Sans" w:hAnsi="Work Sans"/>
        </w:rPr>
      </w:pPr>
      <w:r w:rsidRPr="00C80C6F">
        <w:rPr>
          <w:rFonts w:ascii="Work Sans" w:hAnsi="Work Sans"/>
        </w:rPr>
        <w:t>What the test detects</w:t>
      </w:r>
    </w:p>
    <w:p w14:paraId="6F940A0E" w14:textId="77777777" w:rsidR="00801272" w:rsidRPr="00C80C6F" w:rsidRDefault="009B7718" w:rsidP="00A9687A">
      <w:pPr>
        <w:jc w:val="both"/>
        <w:rPr>
          <w:rFonts w:ascii="Work Sans" w:hAnsi="Work Sans"/>
        </w:rPr>
      </w:pPr>
      <w:r w:rsidRPr="00C80C6F">
        <w:rPr>
          <w:rFonts w:ascii="Work Sans" w:hAnsi="Work Sans"/>
        </w:rPr>
        <w:t>Depending on the assay, testing may look for viral antigens, antibodies, or viral nucleic acid. Nucleic-acid amplification tests (NAAT/PCR) detect viral genetic material: HBV DNA and HCV/HIV RNA.</w:t>
      </w:r>
    </w:p>
    <w:p w14:paraId="1D52A39D" w14:textId="77777777" w:rsidR="00801272" w:rsidRPr="00C80C6F" w:rsidRDefault="009B7718" w:rsidP="00A9687A">
      <w:pPr>
        <w:pStyle w:val="Heading2"/>
        <w:jc w:val="both"/>
        <w:rPr>
          <w:rFonts w:ascii="Work Sans" w:hAnsi="Work Sans"/>
        </w:rPr>
      </w:pPr>
      <w:r w:rsidRPr="00C80C6F">
        <w:rPr>
          <w:rFonts w:ascii="Work Sans" w:hAnsi="Work Sans"/>
        </w:rPr>
        <w:t>Why it may be requested</w:t>
      </w:r>
    </w:p>
    <w:p w14:paraId="065B8080" w14:textId="77777777" w:rsidR="00801272" w:rsidRPr="00C80C6F" w:rsidRDefault="009B7718" w:rsidP="00A9687A">
      <w:pPr>
        <w:jc w:val="both"/>
        <w:rPr>
          <w:rFonts w:ascii="Work Sans" w:hAnsi="Work Sans"/>
        </w:rPr>
      </w:pPr>
      <w:r w:rsidRPr="00C80C6F">
        <w:rPr>
          <w:rFonts w:ascii="Work Sans" w:hAnsi="Work Sans"/>
        </w:rPr>
        <w:t>Testing may be used for screening, evaluation of suspected infection, confirmation of selected results, assessment before certain treatments or procedures, and monitoring of known infection.</w:t>
      </w:r>
    </w:p>
    <w:p w14:paraId="7F5D6665" w14:textId="77777777" w:rsidR="00801272" w:rsidRPr="00C80C6F" w:rsidRDefault="009B7718" w:rsidP="00A9687A">
      <w:pPr>
        <w:pStyle w:val="Heading2"/>
        <w:jc w:val="both"/>
        <w:rPr>
          <w:rFonts w:ascii="Work Sans" w:hAnsi="Work Sans"/>
        </w:rPr>
      </w:pPr>
      <w:r w:rsidRPr="00C80C6F">
        <w:rPr>
          <w:rFonts w:ascii="Work Sans" w:hAnsi="Work Sans"/>
        </w:rPr>
        <w:lastRenderedPageBreak/>
        <w:t>Important interpretation point</w:t>
      </w:r>
    </w:p>
    <w:p w14:paraId="3D2E1DDD" w14:textId="77777777" w:rsidR="00801272" w:rsidRPr="00C80C6F" w:rsidRDefault="009B7718" w:rsidP="00A9687A">
      <w:pPr>
        <w:jc w:val="both"/>
        <w:rPr>
          <w:rFonts w:ascii="Work Sans" w:hAnsi="Work Sans"/>
        </w:rPr>
      </w:pPr>
      <w:r w:rsidRPr="00C80C6F">
        <w:rPr>
          <w:rFonts w:ascii="Work Sans" w:hAnsi="Work Sans"/>
        </w:rPr>
        <w:t>A positive screening result does not always establish the stage or activity of infection. Follow-up testing and clinical assessment may be required. The timing of testing after exposure also matters because markers may not be detectable immediately.</w:t>
      </w:r>
    </w:p>
    <w:p w14:paraId="0332D152" w14:textId="77777777" w:rsidR="00801272" w:rsidRPr="00C80C6F" w:rsidRDefault="009B7718" w:rsidP="00A9687A">
      <w:pPr>
        <w:jc w:val="both"/>
        <w:rPr>
          <w:rFonts w:ascii="Work Sans" w:hAnsi="Work Sans"/>
        </w:rPr>
      </w:pPr>
      <w:r w:rsidRPr="00C80C6F">
        <w:rPr>
          <w:rFonts w:ascii="Work Sans" w:hAnsi="Work Sans"/>
        </w:rPr>
        <w:br w:type="page"/>
      </w:r>
    </w:p>
    <w:p w14:paraId="4F94EE76" w14:textId="0C1056B8"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Thyroid Function Tests (TFTs)</w:t>
      </w:r>
    </w:p>
    <w:p w14:paraId="1F8CFD23" w14:textId="77777777" w:rsidR="00801272" w:rsidRPr="00C80C6F" w:rsidRDefault="009B7718" w:rsidP="00A9687A">
      <w:pPr>
        <w:jc w:val="center"/>
        <w:rPr>
          <w:rFonts w:ascii="Work Sans" w:hAnsi="Work Sans"/>
        </w:rPr>
      </w:pPr>
      <w:r w:rsidRPr="00C80C6F">
        <w:rPr>
          <w:rFonts w:ascii="Work Sans" w:hAnsi="Work Sans"/>
          <w:noProof/>
        </w:rPr>
        <w:drawing>
          <wp:inline distT="0" distB="0" distL="0" distR="0" wp14:anchorId="3B65A40E" wp14:editId="45536E33">
            <wp:extent cx="5669280" cy="3191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yroid_function_tests.png"/>
                    <pic:cNvPicPr/>
                  </pic:nvPicPr>
                  <pic:blipFill>
                    <a:blip r:embed="rId7"/>
                    <a:stretch>
                      <a:fillRect/>
                    </a:stretch>
                  </pic:blipFill>
                  <pic:spPr>
                    <a:xfrm>
                      <a:off x="0" y="0"/>
                      <a:ext cx="5669280" cy="3191805"/>
                    </a:xfrm>
                    <a:prstGeom prst="rect">
                      <a:avLst/>
                    </a:prstGeom>
                  </pic:spPr>
                </pic:pic>
              </a:graphicData>
            </a:graphic>
          </wp:inline>
        </w:drawing>
      </w:r>
    </w:p>
    <w:p w14:paraId="7ED7F124" w14:textId="77777777" w:rsidR="00801272" w:rsidRPr="00C80C6F" w:rsidRDefault="009B7718" w:rsidP="00A9687A">
      <w:pPr>
        <w:jc w:val="both"/>
        <w:rPr>
          <w:rFonts w:ascii="Work Sans" w:hAnsi="Work Sans"/>
        </w:rPr>
      </w:pPr>
      <w:r w:rsidRPr="00C80C6F">
        <w:rPr>
          <w:rFonts w:ascii="Work Sans" w:hAnsi="Work Sans"/>
          <w:b/>
        </w:rPr>
        <w:t>The thyroid is a small gland in the neck that produces hormones involved in metabolism, heart rate, temperature regulation and many other body functions.</w:t>
      </w:r>
    </w:p>
    <w:p w14:paraId="3D4AF295" w14:textId="77777777" w:rsidR="00801272" w:rsidRPr="00C80C6F" w:rsidRDefault="009B7718" w:rsidP="00A9687A">
      <w:pPr>
        <w:pStyle w:val="Heading2"/>
        <w:jc w:val="both"/>
        <w:rPr>
          <w:rFonts w:ascii="Work Sans" w:hAnsi="Work Sans"/>
        </w:rPr>
      </w:pPr>
      <w:r w:rsidRPr="00C80C6F">
        <w:rPr>
          <w:rFonts w:ascii="Work Sans" w:hAnsi="Work Sans"/>
        </w:rPr>
        <w:t>Common tests</w:t>
      </w:r>
    </w:p>
    <w:p w14:paraId="7F490562" w14:textId="77777777" w:rsidR="00801272" w:rsidRPr="00C80C6F" w:rsidRDefault="009B7718" w:rsidP="00A9687A">
      <w:pPr>
        <w:jc w:val="both"/>
        <w:rPr>
          <w:rFonts w:ascii="Work Sans" w:hAnsi="Work Sans"/>
        </w:rPr>
      </w:pPr>
      <w:r w:rsidRPr="00C80C6F">
        <w:rPr>
          <w:rFonts w:ascii="Work Sans" w:hAnsi="Work Sans"/>
        </w:rPr>
        <w:t>TSH (thyroid-stimulating hormone) is usually the starting test. Free T4 (FT4) and, in selected situations, free T3 (FT3) provide additional information about thyroid hormone production and activity.</w:t>
      </w:r>
    </w:p>
    <w:p w14:paraId="2F6076D7" w14:textId="77777777" w:rsidR="00801272" w:rsidRPr="00C80C6F" w:rsidRDefault="009B7718" w:rsidP="00A9687A">
      <w:pPr>
        <w:pStyle w:val="Heading2"/>
        <w:jc w:val="both"/>
        <w:rPr>
          <w:rFonts w:ascii="Work Sans" w:hAnsi="Work Sans"/>
        </w:rPr>
      </w:pPr>
      <w:r w:rsidRPr="00C80C6F">
        <w:rPr>
          <w:rFonts w:ascii="Work Sans" w:hAnsi="Work Sans"/>
        </w:rPr>
        <w:t>Autoimmune testing</w:t>
      </w:r>
    </w:p>
    <w:p w14:paraId="22BBE1DC" w14:textId="77777777" w:rsidR="00801272" w:rsidRPr="00C80C6F" w:rsidRDefault="009B7718" w:rsidP="00A9687A">
      <w:pPr>
        <w:jc w:val="both"/>
        <w:rPr>
          <w:rFonts w:ascii="Work Sans" w:hAnsi="Work Sans"/>
        </w:rPr>
      </w:pPr>
      <w:r w:rsidRPr="00C80C6F">
        <w:rPr>
          <w:rFonts w:ascii="Work Sans" w:hAnsi="Work Sans"/>
        </w:rPr>
        <w:t>Thyroid antibody tests may be requested when an autoimmune thyroid disorder is suspected.</w:t>
      </w:r>
    </w:p>
    <w:p w14:paraId="1CD480E7" w14:textId="77777777" w:rsidR="00801272" w:rsidRPr="00C80C6F" w:rsidRDefault="009B7718" w:rsidP="00A9687A">
      <w:pPr>
        <w:pStyle w:val="Heading2"/>
        <w:jc w:val="both"/>
        <w:rPr>
          <w:rFonts w:ascii="Work Sans" w:hAnsi="Work Sans"/>
        </w:rPr>
      </w:pPr>
      <w:r w:rsidRPr="00C80C6F">
        <w:rPr>
          <w:rFonts w:ascii="Work Sans" w:hAnsi="Work Sans"/>
        </w:rPr>
        <w:t>Monitoring</w:t>
      </w:r>
    </w:p>
    <w:p w14:paraId="1F61D870" w14:textId="77777777" w:rsidR="00801272" w:rsidRPr="00C80C6F" w:rsidRDefault="009B7718" w:rsidP="00A9687A">
      <w:pPr>
        <w:jc w:val="both"/>
        <w:rPr>
          <w:rFonts w:ascii="Work Sans" w:hAnsi="Work Sans"/>
        </w:rPr>
      </w:pPr>
      <w:r w:rsidRPr="00C80C6F">
        <w:rPr>
          <w:rFonts w:ascii="Work Sans" w:hAnsi="Work Sans"/>
        </w:rPr>
        <w:t>Thyroglobulin and calcitonin may be used in specific clinical situations, including follow-up of selected thyroid cancers; they are not routine thyroid-function tests.</w:t>
      </w:r>
    </w:p>
    <w:tbl>
      <w:tblPr>
        <w:tblStyle w:val="TableGrid"/>
        <w:tblW w:w="0" w:type="auto"/>
        <w:jc w:val="center"/>
        <w:tblLook w:val="04A0" w:firstRow="1" w:lastRow="0" w:firstColumn="1" w:lastColumn="0" w:noHBand="0" w:noVBand="1"/>
      </w:tblPr>
      <w:tblGrid>
        <w:gridCol w:w="1975"/>
        <w:gridCol w:w="3150"/>
        <w:gridCol w:w="5089"/>
      </w:tblGrid>
      <w:tr w:rsidR="00801272" w:rsidRPr="00C80C6F" w14:paraId="609EF9D7" w14:textId="77777777" w:rsidTr="00A9687A">
        <w:trPr>
          <w:jc w:val="center"/>
        </w:trPr>
        <w:tc>
          <w:tcPr>
            <w:tcW w:w="1975" w:type="dxa"/>
          </w:tcPr>
          <w:p w14:paraId="07B91536" w14:textId="77777777" w:rsidR="00801272" w:rsidRPr="00C80C6F" w:rsidRDefault="009B7718" w:rsidP="00A9687A">
            <w:pPr>
              <w:jc w:val="both"/>
              <w:rPr>
                <w:rFonts w:ascii="Work Sans" w:hAnsi="Work Sans"/>
              </w:rPr>
            </w:pPr>
            <w:r w:rsidRPr="00C80C6F">
              <w:rPr>
                <w:rFonts w:ascii="Work Sans" w:hAnsi="Work Sans"/>
                <w:b/>
              </w:rPr>
              <w:t>TSH</w:t>
            </w:r>
          </w:p>
        </w:tc>
        <w:tc>
          <w:tcPr>
            <w:tcW w:w="3150" w:type="dxa"/>
          </w:tcPr>
          <w:p w14:paraId="626F67E5" w14:textId="77777777" w:rsidR="00801272" w:rsidRPr="00C80C6F" w:rsidRDefault="009B7718" w:rsidP="00A9687A">
            <w:pPr>
              <w:jc w:val="both"/>
              <w:rPr>
                <w:rFonts w:ascii="Work Sans" w:hAnsi="Work Sans"/>
              </w:rPr>
            </w:pPr>
            <w:r w:rsidRPr="00C80C6F">
              <w:rPr>
                <w:rFonts w:ascii="Work Sans" w:hAnsi="Work Sans"/>
                <w:b/>
              </w:rPr>
              <w:t>FT4/FT3</w:t>
            </w:r>
          </w:p>
        </w:tc>
        <w:tc>
          <w:tcPr>
            <w:tcW w:w="5089" w:type="dxa"/>
          </w:tcPr>
          <w:p w14:paraId="66F1ADA1" w14:textId="77777777" w:rsidR="00801272" w:rsidRPr="00C80C6F" w:rsidRDefault="009B7718" w:rsidP="00A9687A">
            <w:pPr>
              <w:jc w:val="both"/>
              <w:rPr>
                <w:rFonts w:ascii="Work Sans" w:hAnsi="Work Sans"/>
              </w:rPr>
            </w:pPr>
            <w:r w:rsidRPr="00C80C6F">
              <w:rPr>
                <w:rFonts w:ascii="Work Sans" w:hAnsi="Work Sans"/>
                <w:b/>
              </w:rPr>
              <w:t>General pattern*</w:t>
            </w:r>
          </w:p>
        </w:tc>
      </w:tr>
      <w:tr w:rsidR="00801272" w:rsidRPr="00C80C6F" w14:paraId="2C760DF1" w14:textId="77777777" w:rsidTr="00A9687A">
        <w:trPr>
          <w:jc w:val="center"/>
        </w:trPr>
        <w:tc>
          <w:tcPr>
            <w:tcW w:w="1975" w:type="dxa"/>
          </w:tcPr>
          <w:p w14:paraId="4DE38CB7" w14:textId="77777777" w:rsidR="00801272" w:rsidRPr="00C80C6F" w:rsidRDefault="009B7718" w:rsidP="00A9687A">
            <w:pPr>
              <w:jc w:val="both"/>
              <w:rPr>
                <w:rFonts w:ascii="Work Sans" w:hAnsi="Work Sans"/>
              </w:rPr>
            </w:pPr>
            <w:r w:rsidRPr="00C80C6F">
              <w:rPr>
                <w:rFonts w:ascii="Work Sans" w:hAnsi="Work Sans"/>
              </w:rPr>
              <w:t>High</w:t>
            </w:r>
          </w:p>
        </w:tc>
        <w:tc>
          <w:tcPr>
            <w:tcW w:w="3150" w:type="dxa"/>
          </w:tcPr>
          <w:p w14:paraId="2D9A19A1" w14:textId="77777777" w:rsidR="00801272" w:rsidRPr="00C80C6F" w:rsidRDefault="009B7718" w:rsidP="00A9687A">
            <w:pPr>
              <w:jc w:val="both"/>
              <w:rPr>
                <w:rFonts w:ascii="Work Sans" w:hAnsi="Work Sans"/>
              </w:rPr>
            </w:pPr>
            <w:r w:rsidRPr="00C80C6F">
              <w:rPr>
                <w:rFonts w:ascii="Work Sans" w:hAnsi="Work Sans"/>
              </w:rPr>
              <w:t>Low FT4</w:t>
            </w:r>
          </w:p>
        </w:tc>
        <w:tc>
          <w:tcPr>
            <w:tcW w:w="5089" w:type="dxa"/>
          </w:tcPr>
          <w:p w14:paraId="0BD60477" w14:textId="77777777" w:rsidR="00801272" w:rsidRPr="00C80C6F" w:rsidRDefault="009B7718" w:rsidP="00A9687A">
            <w:pPr>
              <w:rPr>
                <w:rFonts w:ascii="Work Sans" w:hAnsi="Work Sans"/>
              </w:rPr>
            </w:pPr>
            <w:r w:rsidRPr="00C80C6F">
              <w:rPr>
                <w:rFonts w:ascii="Work Sans" w:hAnsi="Work Sans"/>
              </w:rPr>
              <w:t>Primary hypothyroidism</w:t>
            </w:r>
          </w:p>
        </w:tc>
      </w:tr>
      <w:tr w:rsidR="00801272" w:rsidRPr="00C80C6F" w14:paraId="42F5F056" w14:textId="77777777" w:rsidTr="00A9687A">
        <w:trPr>
          <w:jc w:val="center"/>
        </w:trPr>
        <w:tc>
          <w:tcPr>
            <w:tcW w:w="1975" w:type="dxa"/>
          </w:tcPr>
          <w:p w14:paraId="48019FAE" w14:textId="77777777" w:rsidR="00801272" w:rsidRPr="00C80C6F" w:rsidRDefault="009B7718" w:rsidP="00A9687A">
            <w:pPr>
              <w:jc w:val="both"/>
              <w:rPr>
                <w:rFonts w:ascii="Work Sans" w:hAnsi="Work Sans"/>
              </w:rPr>
            </w:pPr>
            <w:r w:rsidRPr="00C80C6F">
              <w:rPr>
                <w:rFonts w:ascii="Work Sans" w:hAnsi="Work Sans"/>
              </w:rPr>
              <w:t>Low</w:t>
            </w:r>
          </w:p>
        </w:tc>
        <w:tc>
          <w:tcPr>
            <w:tcW w:w="3150" w:type="dxa"/>
          </w:tcPr>
          <w:p w14:paraId="0157BAD8" w14:textId="77777777" w:rsidR="00801272" w:rsidRPr="00C80C6F" w:rsidRDefault="009B7718" w:rsidP="00A9687A">
            <w:pPr>
              <w:jc w:val="both"/>
              <w:rPr>
                <w:rFonts w:ascii="Work Sans" w:hAnsi="Work Sans"/>
              </w:rPr>
            </w:pPr>
            <w:r w:rsidRPr="00C80C6F">
              <w:rPr>
                <w:rFonts w:ascii="Work Sans" w:hAnsi="Work Sans"/>
              </w:rPr>
              <w:t>High FT4 and/or FT3</w:t>
            </w:r>
          </w:p>
        </w:tc>
        <w:tc>
          <w:tcPr>
            <w:tcW w:w="5089" w:type="dxa"/>
          </w:tcPr>
          <w:p w14:paraId="1DA7A1C6" w14:textId="77777777" w:rsidR="00801272" w:rsidRPr="00C80C6F" w:rsidRDefault="009B7718" w:rsidP="00A9687A">
            <w:pPr>
              <w:rPr>
                <w:rFonts w:ascii="Work Sans" w:hAnsi="Work Sans"/>
              </w:rPr>
            </w:pPr>
            <w:r w:rsidRPr="00C80C6F">
              <w:rPr>
                <w:rFonts w:ascii="Work Sans" w:hAnsi="Work Sans"/>
              </w:rPr>
              <w:t>Hyperthyroidism</w:t>
            </w:r>
          </w:p>
        </w:tc>
      </w:tr>
      <w:tr w:rsidR="00801272" w:rsidRPr="00C80C6F" w14:paraId="1DFF81C1" w14:textId="77777777" w:rsidTr="00A9687A">
        <w:trPr>
          <w:jc w:val="center"/>
        </w:trPr>
        <w:tc>
          <w:tcPr>
            <w:tcW w:w="1975" w:type="dxa"/>
          </w:tcPr>
          <w:p w14:paraId="7011FC8D" w14:textId="77777777" w:rsidR="00801272" w:rsidRPr="00C80C6F" w:rsidRDefault="009B7718" w:rsidP="00A9687A">
            <w:pPr>
              <w:jc w:val="both"/>
              <w:rPr>
                <w:rFonts w:ascii="Work Sans" w:hAnsi="Work Sans"/>
              </w:rPr>
            </w:pPr>
            <w:r w:rsidRPr="00C80C6F">
              <w:rPr>
                <w:rFonts w:ascii="Work Sans" w:hAnsi="Work Sans"/>
              </w:rPr>
              <w:t>High</w:t>
            </w:r>
          </w:p>
        </w:tc>
        <w:tc>
          <w:tcPr>
            <w:tcW w:w="3150" w:type="dxa"/>
          </w:tcPr>
          <w:p w14:paraId="7D12A58E" w14:textId="77777777" w:rsidR="00801272" w:rsidRPr="00C80C6F" w:rsidRDefault="009B7718" w:rsidP="00A9687A">
            <w:pPr>
              <w:jc w:val="both"/>
              <w:rPr>
                <w:rFonts w:ascii="Work Sans" w:hAnsi="Work Sans"/>
              </w:rPr>
            </w:pPr>
            <w:r w:rsidRPr="00C80C6F">
              <w:rPr>
                <w:rFonts w:ascii="Work Sans" w:hAnsi="Work Sans"/>
              </w:rPr>
              <w:t>Normal FT4</w:t>
            </w:r>
          </w:p>
        </w:tc>
        <w:tc>
          <w:tcPr>
            <w:tcW w:w="5089" w:type="dxa"/>
          </w:tcPr>
          <w:p w14:paraId="4F662DFF" w14:textId="77777777" w:rsidR="00801272" w:rsidRPr="00C80C6F" w:rsidRDefault="009B7718" w:rsidP="00A9687A">
            <w:pPr>
              <w:rPr>
                <w:rFonts w:ascii="Work Sans" w:hAnsi="Work Sans"/>
              </w:rPr>
            </w:pPr>
            <w:r w:rsidRPr="00C80C6F">
              <w:rPr>
                <w:rFonts w:ascii="Work Sans" w:hAnsi="Work Sans"/>
              </w:rPr>
              <w:t>Possible subclinical hypothyroidism</w:t>
            </w:r>
          </w:p>
        </w:tc>
      </w:tr>
      <w:tr w:rsidR="00801272" w:rsidRPr="00C80C6F" w14:paraId="211CF4BA" w14:textId="77777777" w:rsidTr="00A9687A">
        <w:trPr>
          <w:jc w:val="center"/>
        </w:trPr>
        <w:tc>
          <w:tcPr>
            <w:tcW w:w="1975" w:type="dxa"/>
          </w:tcPr>
          <w:p w14:paraId="6E219517" w14:textId="77777777" w:rsidR="00801272" w:rsidRPr="00C80C6F" w:rsidRDefault="009B7718" w:rsidP="00A9687A">
            <w:pPr>
              <w:jc w:val="both"/>
              <w:rPr>
                <w:rFonts w:ascii="Work Sans" w:hAnsi="Work Sans"/>
              </w:rPr>
            </w:pPr>
            <w:r w:rsidRPr="00C80C6F">
              <w:rPr>
                <w:rFonts w:ascii="Work Sans" w:hAnsi="Work Sans"/>
              </w:rPr>
              <w:t>Low</w:t>
            </w:r>
          </w:p>
        </w:tc>
        <w:tc>
          <w:tcPr>
            <w:tcW w:w="3150" w:type="dxa"/>
          </w:tcPr>
          <w:p w14:paraId="1961743E" w14:textId="77777777" w:rsidR="00801272" w:rsidRPr="00C80C6F" w:rsidRDefault="009B7718" w:rsidP="00A9687A">
            <w:pPr>
              <w:jc w:val="both"/>
              <w:rPr>
                <w:rFonts w:ascii="Work Sans" w:hAnsi="Work Sans"/>
              </w:rPr>
            </w:pPr>
            <w:r w:rsidRPr="00C80C6F">
              <w:rPr>
                <w:rFonts w:ascii="Work Sans" w:hAnsi="Work Sans"/>
              </w:rPr>
              <w:t>Normal FT4</w:t>
            </w:r>
          </w:p>
        </w:tc>
        <w:tc>
          <w:tcPr>
            <w:tcW w:w="5089" w:type="dxa"/>
          </w:tcPr>
          <w:p w14:paraId="4AB51CC1" w14:textId="77777777" w:rsidR="00801272" w:rsidRPr="00C80C6F" w:rsidRDefault="009B7718" w:rsidP="00A9687A">
            <w:pPr>
              <w:rPr>
                <w:rFonts w:ascii="Work Sans" w:hAnsi="Work Sans"/>
              </w:rPr>
            </w:pPr>
            <w:r w:rsidRPr="00C80C6F">
              <w:rPr>
                <w:rFonts w:ascii="Work Sans" w:hAnsi="Work Sans"/>
              </w:rPr>
              <w:t>Possible subclinical hyperthyroidism</w:t>
            </w:r>
          </w:p>
        </w:tc>
      </w:tr>
    </w:tbl>
    <w:p w14:paraId="6EE54A86" w14:textId="77777777" w:rsidR="00801272" w:rsidRPr="00C80C6F" w:rsidRDefault="009B7718" w:rsidP="00A9687A">
      <w:pPr>
        <w:jc w:val="both"/>
        <w:rPr>
          <w:rFonts w:ascii="Work Sans" w:hAnsi="Work Sans"/>
        </w:rPr>
      </w:pPr>
      <w:r w:rsidRPr="00C80C6F">
        <w:rPr>
          <w:rFonts w:ascii="Work Sans" w:hAnsi="Work Sans"/>
          <w:b/>
        </w:rPr>
        <w:t xml:space="preserve">Important: </w:t>
      </w:r>
      <w:r w:rsidRPr="00C80C6F">
        <w:rPr>
          <w:rFonts w:ascii="Work Sans" w:hAnsi="Work Sans"/>
        </w:rPr>
        <w:t>*Interpretation depends on the clinical context, medications, pregnancy status, illness and laboratory reference intervals. Pituitary or hypothalamic disorders can produce different patterns.</w:t>
      </w:r>
    </w:p>
    <w:p w14:paraId="6D68F767" w14:textId="77777777" w:rsidR="00801272" w:rsidRPr="00C80C6F" w:rsidRDefault="009B7718">
      <w:pPr>
        <w:rPr>
          <w:rFonts w:ascii="Work Sans" w:hAnsi="Work Sans"/>
        </w:rPr>
      </w:pPr>
      <w:r w:rsidRPr="00C80C6F">
        <w:rPr>
          <w:rFonts w:ascii="Work Sans" w:hAnsi="Work Sans"/>
        </w:rPr>
        <w:br w:type="page"/>
      </w:r>
    </w:p>
    <w:p w14:paraId="6EE82D04" w14:textId="6FDD0279"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Liver Function Tests (LFTs)</w:t>
      </w:r>
    </w:p>
    <w:p w14:paraId="5C13E35E"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2CB76E73" wp14:editId="1414F60A">
            <wp:extent cx="5669280" cy="36453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er_function_tests.png"/>
                    <pic:cNvPicPr/>
                  </pic:nvPicPr>
                  <pic:blipFill>
                    <a:blip r:embed="rId8"/>
                    <a:stretch>
                      <a:fillRect/>
                    </a:stretch>
                  </pic:blipFill>
                  <pic:spPr>
                    <a:xfrm>
                      <a:off x="0" y="0"/>
                      <a:ext cx="5669280" cy="3645347"/>
                    </a:xfrm>
                    <a:prstGeom prst="rect">
                      <a:avLst/>
                    </a:prstGeom>
                  </pic:spPr>
                </pic:pic>
              </a:graphicData>
            </a:graphic>
          </wp:inline>
        </w:drawing>
      </w:r>
    </w:p>
    <w:p w14:paraId="0206832A" w14:textId="77777777" w:rsidR="00801272" w:rsidRPr="00C80C6F" w:rsidRDefault="009B7718">
      <w:pPr>
        <w:rPr>
          <w:rFonts w:ascii="Work Sans" w:hAnsi="Work Sans"/>
        </w:rPr>
      </w:pPr>
      <w:r w:rsidRPr="00C80C6F">
        <w:rPr>
          <w:rFonts w:ascii="Work Sans" w:hAnsi="Work Sans"/>
          <w:b/>
        </w:rPr>
        <w:t>Liver function testing is a group of blood tests that evaluates enzymes, proteins and other substances associated with liver and biliary-tract health. The results are interpreted together rather than as isolated numbers.</w:t>
      </w:r>
    </w:p>
    <w:tbl>
      <w:tblPr>
        <w:tblStyle w:val="TableGrid"/>
        <w:tblW w:w="0" w:type="auto"/>
        <w:jc w:val="center"/>
        <w:tblLook w:val="04A0" w:firstRow="1" w:lastRow="0" w:firstColumn="1" w:lastColumn="0" w:noHBand="0" w:noVBand="1"/>
      </w:tblPr>
      <w:tblGrid>
        <w:gridCol w:w="3235"/>
        <w:gridCol w:w="6979"/>
      </w:tblGrid>
      <w:tr w:rsidR="00801272" w:rsidRPr="00C80C6F" w14:paraId="775FC9C8" w14:textId="77777777" w:rsidTr="00A9687A">
        <w:trPr>
          <w:jc w:val="center"/>
        </w:trPr>
        <w:tc>
          <w:tcPr>
            <w:tcW w:w="3235" w:type="dxa"/>
          </w:tcPr>
          <w:p w14:paraId="4EE298F4" w14:textId="77777777" w:rsidR="00801272" w:rsidRPr="00C80C6F" w:rsidRDefault="009B7718">
            <w:pPr>
              <w:rPr>
                <w:rFonts w:ascii="Work Sans" w:hAnsi="Work Sans"/>
              </w:rPr>
            </w:pPr>
            <w:r w:rsidRPr="00C80C6F">
              <w:rPr>
                <w:rFonts w:ascii="Work Sans" w:hAnsi="Work Sans"/>
                <w:b/>
              </w:rPr>
              <w:t>Test</w:t>
            </w:r>
          </w:p>
        </w:tc>
        <w:tc>
          <w:tcPr>
            <w:tcW w:w="6979" w:type="dxa"/>
          </w:tcPr>
          <w:p w14:paraId="6612B968" w14:textId="77777777" w:rsidR="00801272" w:rsidRPr="00C80C6F" w:rsidRDefault="009B7718">
            <w:pPr>
              <w:rPr>
                <w:rFonts w:ascii="Work Sans" w:hAnsi="Work Sans"/>
              </w:rPr>
            </w:pPr>
            <w:r w:rsidRPr="00C80C6F">
              <w:rPr>
                <w:rFonts w:ascii="Work Sans" w:hAnsi="Work Sans"/>
                <w:b/>
              </w:rPr>
              <w:t>What it can indicate</w:t>
            </w:r>
          </w:p>
        </w:tc>
      </w:tr>
      <w:tr w:rsidR="00801272" w:rsidRPr="00C80C6F" w14:paraId="6A95CF04" w14:textId="77777777" w:rsidTr="00A9687A">
        <w:trPr>
          <w:jc w:val="center"/>
        </w:trPr>
        <w:tc>
          <w:tcPr>
            <w:tcW w:w="3235" w:type="dxa"/>
          </w:tcPr>
          <w:p w14:paraId="30CCF94A" w14:textId="77777777" w:rsidR="00801272" w:rsidRPr="00C80C6F" w:rsidRDefault="009B7718">
            <w:pPr>
              <w:rPr>
                <w:rFonts w:ascii="Work Sans" w:hAnsi="Work Sans"/>
              </w:rPr>
            </w:pPr>
            <w:r w:rsidRPr="00C80C6F">
              <w:rPr>
                <w:rFonts w:ascii="Work Sans" w:hAnsi="Work Sans"/>
              </w:rPr>
              <w:t>ALT</w:t>
            </w:r>
          </w:p>
        </w:tc>
        <w:tc>
          <w:tcPr>
            <w:tcW w:w="6979" w:type="dxa"/>
          </w:tcPr>
          <w:p w14:paraId="42845AA2" w14:textId="77777777" w:rsidR="00801272" w:rsidRPr="00C80C6F" w:rsidRDefault="009B7718">
            <w:pPr>
              <w:rPr>
                <w:rFonts w:ascii="Work Sans" w:hAnsi="Work Sans"/>
              </w:rPr>
            </w:pPr>
            <w:r w:rsidRPr="00C80C6F">
              <w:rPr>
                <w:rFonts w:ascii="Work Sans" w:hAnsi="Work Sans"/>
              </w:rPr>
              <w:t>An enzyme found mainly in liver cells. Increased levels commonly indicate hepatocellular injury, although ALT can also be affected by other conditions.</w:t>
            </w:r>
          </w:p>
        </w:tc>
      </w:tr>
      <w:tr w:rsidR="00801272" w:rsidRPr="00C80C6F" w14:paraId="49FC471F" w14:textId="77777777" w:rsidTr="00A9687A">
        <w:trPr>
          <w:jc w:val="center"/>
        </w:trPr>
        <w:tc>
          <w:tcPr>
            <w:tcW w:w="3235" w:type="dxa"/>
          </w:tcPr>
          <w:p w14:paraId="1033C850" w14:textId="77777777" w:rsidR="00801272" w:rsidRPr="00C80C6F" w:rsidRDefault="009B7718">
            <w:pPr>
              <w:rPr>
                <w:rFonts w:ascii="Work Sans" w:hAnsi="Work Sans"/>
              </w:rPr>
            </w:pPr>
            <w:r w:rsidRPr="00C80C6F">
              <w:rPr>
                <w:rFonts w:ascii="Work Sans" w:hAnsi="Work Sans"/>
              </w:rPr>
              <w:t>AST</w:t>
            </w:r>
          </w:p>
        </w:tc>
        <w:tc>
          <w:tcPr>
            <w:tcW w:w="6979" w:type="dxa"/>
          </w:tcPr>
          <w:p w14:paraId="2D986235" w14:textId="77777777" w:rsidR="00801272" w:rsidRPr="00C80C6F" w:rsidRDefault="009B7718">
            <w:pPr>
              <w:rPr>
                <w:rFonts w:ascii="Work Sans" w:hAnsi="Work Sans"/>
              </w:rPr>
            </w:pPr>
            <w:r w:rsidRPr="00C80C6F">
              <w:rPr>
                <w:rFonts w:ascii="Work Sans" w:hAnsi="Work Sans"/>
              </w:rPr>
              <w:t>An enzyme found in the liver and other tissues, including muscle and heart. It can rise with liver or non-liver tissue injury.</w:t>
            </w:r>
          </w:p>
        </w:tc>
      </w:tr>
      <w:tr w:rsidR="00801272" w:rsidRPr="00C80C6F" w14:paraId="42A0A40A" w14:textId="77777777" w:rsidTr="00A9687A">
        <w:trPr>
          <w:jc w:val="center"/>
        </w:trPr>
        <w:tc>
          <w:tcPr>
            <w:tcW w:w="3235" w:type="dxa"/>
          </w:tcPr>
          <w:p w14:paraId="6E414F1E" w14:textId="77777777" w:rsidR="00801272" w:rsidRPr="00C80C6F" w:rsidRDefault="009B7718">
            <w:pPr>
              <w:rPr>
                <w:rFonts w:ascii="Work Sans" w:hAnsi="Work Sans"/>
              </w:rPr>
            </w:pPr>
            <w:r w:rsidRPr="00C80C6F">
              <w:rPr>
                <w:rFonts w:ascii="Work Sans" w:hAnsi="Work Sans"/>
              </w:rPr>
              <w:t>ALP</w:t>
            </w:r>
          </w:p>
        </w:tc>
        <w:tc>
          <w:tcPr>
            <w:tcW w:w="6979" w:type="dxa"/>
          </w:tcPr>
          <w:p w14:paraId="5A853073" w14:textId="77777777" w:rsidR="00801272" w:rsidRPr="00C80C6F" w:rsidRDefault="009B7718">
            <w:pPr>
              <w:rPr>
                <w:rFonts w:ascii="Work Sans" w:hAnsi="Work Sans"/>
              </w:rPr>
            </w:pPr>
            <w:r w:rsidRPr="00C80C6F">
              <w:rPr>
                <w:rFonts w:ascii="Work Sans" w:hAnsi="Work Sans"/>
              </w:rPr>
              <w:t>An enzyme associated mainly with the liver/bile ducts and bones. An increased result may arise from either source.</w:t>
            </w:r>
          </w:p>
        </w:tc>
      </w:tr>
      <w:tr w:rsidR="00801272" w:rsidRPr="00C80C6F" w14:paraId="4FF47A02" w14:textId="77777777" w:rsidTr="00A9687A">
        <w:trPr>
          <w:jc w:val="center"/>
        </w:trPr>
        <w:tc>
          <w:tcPr>
            <w:tcW w:w="3235" w:type="dxa"/>
          </w:tcPr>
          <w:p w14:paraId="27C1DB91" w14:textId="77777777" w:rsidR="00801272" w:rsidRPr="00C80C6F" w:rsidRDefault="009B7718">
            <w:pPr>
              <w:rPr>
                <w:rFonts w:ascii="Work Sans" w:hAnsi="Work Sans"/>
              </w:rPr>
            </w:pPr>
            <w:r w:rsidRPr="00C80C6F">
              <w:rPr>
                <w:rFonts w:ascii="Work Sans" w:hAnsi="Work Sans"/>
              </w:rPr>
              <w:t>GGT</w:t>
            </w:r>
          </w:p>
        </w:tc>
        <w:tc>
          <w:tcPr>
            <w:tcW w:w="6979" w:type="dxa"/>
          </w:tcPr>
          <w:p w14:paraId="53110B89" w14:textId="77777777" w:rsidR="00801272" w:rsidRPr="00C80C6F" w:rsidRDefault="009B7718">
            <w:pPr>
              <w:rPr>
                <w:rFonts w:ascii="Work Sans" w:hAnsi="Work Sans"/>
              </w:rPr>
            </w:pPr>
            <w:r w:rsidRPr="00C80C6F">
              <w:rPr>
                <w:rFonts w:ascii="Work Sans" w:hAnsi="Work Sans"/>
              </w:rPr>
              <w:t>An enzyme associated with the liver and bile ducts. It can help interpret an elevated ALP and may also rise with alcohol exposure or some medicines.</w:t>
            </w:r>
          </w:p>
        </w:tc>
      </w:tr>
      <w:tr w:rsidR="00801272" w:rsidRPr="00C80C6F" w14:paraId="200F3363" w14:textId="77777777" w:rsidTr="00A9687A">
        <w:trPr>
          <w:jc w:val="center"/>
        </w:trPr>
        <w:tc>
          <w:tcPr>
            <w:tcW w:w="3235" w:type="dxa"/>
          </w:tcPr>
          <w:p w14:paraId="70F98680" w14:textId="77777777" w:rsidR="00801272" w:rsidRPr="00C80C6F" w:rsidRDefault="009B7718">
            <w:pPr>
              <w:rPr>
                <w:rFonts w:ascii="Work Sans" w:hAnsi="Work Sans"/>
              </w:rPr>
            </w:pPr>
            <w:r w:rsidRPr="00C80C6F">
              <w:rPr>
                <w:rFonts w:ascii="Work Sans" w:hAnsi="Work Sans"/>
              </w:rPr>
              <w:t>Bilirubin</w:t>
            </w:r>
          </w:p>
        </w:tc>
        <w:tc>
          <w:tcPr>
            <w:tcW w:w="6979" w:type="dxa"/>
          </w:tcPr>
          <w:p w14:paraId="2FA9CC4B" w14:textId="77777777" w:rsidR="00801272" w:rsidRPr="00C80C6F" w:rsidRDefault="009B7718">
            <w:pPr>
              <w:rPr>
                <w:rFonts w:ascii="Work Sans" w:hAnsi="Work Sans"/>
              </w:rPr>
            </w:pPr>
            <w:r w:rsidRPr="00C80C6F">
              <w:rPr>
                <w:rFonts w:ascii="Work Sans" w:hAnsi="Work Sans"/>
              </w:rPr>
              <w:t>A breakdown product of haemoglobin that is processed and excreted by the liver. Increased bilirubin may contribute to jaundice.</w:t>
            </w:r>
          </w:p>
        </w:tc>
      </w:tr>
      <w:tr w:rsidR="00801272" w:rsidRPr="00C80C6F" w14:paraId="06B5ABD9" w14:textId="77777777" w:rsidTr="00A9687A">
        <w:trPr>
          <w:jc w:val="center"/>
        </w:trPr>
        <w:tc>
          <w:tcPr>
            <w:tcW w:w="3235" w:type="dxa"/>
          </w:tcPr>
          <w:p w14:paraId="02332427" w14:textId="77777777" w:rsidR="00801272" w:rsidRPr="00C80C6F" w:rsidRDefault="009B7718">
            <w:pPr>
              <w:rPr>
                <w:rFonts w:ascii="Work Sans" w:hAnsi="Work Sans"/>
              </w:rPr>
            </w:pPr>
            <w:r w:rsidRPr="00C80C6F">
              <w:rPr>
                <w:rFonts w:ascii="Work Sans" w:hAnsi="Work Sans"/>
              </w:rPr>
              <w:t>Albumin</w:t>
            </w:r>
          </w:p>
        </w:tc>
        <w:tc>
          <w:tcPr>
            <w:tcW w:w="6979" w:type="dxa"/>
          </w:tcPr>
          <w:p w14:paraId="7EFE8EB5" w14:textId="77777777" w:rsidR="00801272" w:rsidRPr="00C80C6F" w:rsidRDefault="009B7718">
            <w:pPr>
              <w:rPr>
                <w:rFonts w:ascii="Work Sans" w:hAnsi="Work Sans"/>
              </w:rPr>
            </w:pPr>
            <w:r w:rsidRPr="00C80C6F">
              <w:rPr>
                <w:rFonts w:ascii="Work Sans" w:hAnsi="Work Sans"/>
              </w:rPr>
              <w:t>A major blood protein made by the liver. Persistently low albumin can occur in chronic liver disease, but it is not specific to the liver.</w:t>
            </w:r>
          </w:p>
        </w:tc>
      </w:tr>
      <w:tr w:rsidR="00801272" w:rsidRPr="00C80C6F" w14:paraId="52494C56" w14:textId="77777777" w:rsidTr="00A9687A">
        <w:trPr>
          <w:jc w:val="center"/>
        </w:trPr>
        <w:tc>
          <w:tcPr>
            <w:tcW w:w="3235" w:type="dxa"/>
          </w:tcPr>
          <w:p w14:paraId="028E5237" w14:textId="77777777" w:rsidR="00801272" w:rsidRPr="00C80C6F" w:rsidRDefault="009B7718">
            <w:pPr>
              <w:rPr>
                <w:rFonts w:ascii="Work Sans" w:hAnsi="Work Sans"/>
              </w:rPr>
            </w:pPr>
            <w:r w:rsidRPr="00C80C6F">
              <w:rPr>
                <w:rFonts w:ascii="Work Sans" w:hAnsi="Work Sans"/>
              </w:rPr>
              <w:t>Total protein</w:t>
            </w:r>
          </w:p>
        </w:tc>
        <w:tc>
          <w:tcPr>
            <w:tcW w:w="6979" w:type="dxa"/>
          </w:tcPr>
          <w:p w14:paraId="28F4CC2B" w14:textId="77777777" w:rsidR="00801272" w:rsidRPr="00C80C6F" w:rsidRDefault="009B7718">
            <w:pPr>
              <w:rPr>
                <w:rFonts w:ascii="Work Sans" w:hAnsi="Work Sans"/>
              </w:rPr>
            </w:pPr>
            <w:r w:rsidRPr="00C80C6F">
              <w:rPr>
                <w:rFonts w:ascii="Work Sans" w:hAnsi="Work Sans"/>
              </w:rPr>
              <w:t>Measures albumin plus other blood proteins, including antibodies.</w:t>
            </w:r>
          </w:p>
        </w:tc>
      </w:tr>
      <w:tr w:rsidR="00801272" w:rsidRPr="00C80C6F" w14:paraId="2D3A03F0" w14:textId="77777777" w:rsidTr="00A9687A">
        <w:trPr>
          <w:jc w:val="center"/>
        </w:trPr>
        <w:tc>
          <w:tcPr>
            <w:tcW w:w="3235" w:type="dxa"/>
          </w:tcPr>
          <w:p w14:paraId="6102715B" w14:textId="77777777" w:rsidR="00801272" w:rsidRPr="00C80C6F" w:rsidRDefault="009B7718">
            <w:pPr>
              <w:rPr>
                <w:rFonts w:ascii="Work Sans" w:hAnsi="Work Sans"/>
              </w:rPr>
            </w:pPr>
            <w:r w:rsidRPr="00C80C6F">
              <w:rPr>
                <w:rFonts w:ascii="Work Sans" w:hAnsi="Work Sans"/>
              </w:rPr>
              <w:t>Prothrombin time (PT/INR)</w:t>
            </w:r>
          </w:p>
        </w:tc>
        <w:tc>
          <w:tcPr>
            <w:tcW w:w="6979" w:type="dxa"/>
          </w:tcPr>
          <w:p w14:paraId="35C3A266" w14:textId="77777777" w:rsidR="00801272" w:rsidRPr="00C80C6F" w:rsidRDefault="009B7718">
            <w:pPr>
              <w:rPr>
                <w:rFonts w:ascii="Work Sans" w:hAnsi="Work Sans"/>
              </w:rPr>
            </w:pPr>
            <w:r w:rsidRPr="00C80C6F">
              <w:rPr>
                <w:rFonts w:ascii="Work Sans" w:hAnsi="Work Sans"/>
              </w:rPr>
              <w:t>Assesses blood clotting. Because several clotting factors are made in the liver, prolonged PT/INR can occur with impaired liver synthetic function, although there are other causes.</w:t>
            </w:r>
          </w:p>
        </w:tc>
      </w:tr>
    </w:tbl>
    <w:p w14:paraId="25B5E2B5" w14:textId="77777777" w:rsidR="00801272" w:rsidRPr="00C80C6F" w:rsidRDefault="009B7718" w:rsidP="00C576BD">
      <w:pPr>
        <w:jc w:val="both"/>
        <w:rPr>
          <w:rFonts w:ascii="Work Sans" w:hAnsi="Work Sans"/>
        </w:rPr>
      </w:pPr>
      <w:r w:rsidRPr="00C80C6F">
        <w:rPr>
          <w:rFonts w:ascii="Work Sans" w:hAnsi="Work Sans"/>
          <w:b/>
        </w:rPr>
        <w:t xml:space="preserve">Important: </w:t>
      </w:r>
      <w:r w:rsidRPr="00C80C6F">
        <w:rPr>
          <w:rFonts w:ascii="Work Sans" w:hAnsi="Work Sans"/>
        </w:rPr>
        <w:t>LFTs do not by themselves diagnose a particular liver disease. Results should be considered alongside symptoms, examination, medical history and, when indicated, imaging or additional laboratory tests.</w:t>
      </w:r>
    </w:p>
    <w:p w14:paraId="68A68721" w14:textId="51A87A72"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Kidney Function Tests (KFTs)</w:t>
      </w:r>
    </w:p>
    <w:p w14:paraId="579AFD57"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032FA352" wp14:editId="5599316B">
            <wp:extent cx="5669280" cy="37814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ney_function_tests.png"/>
                    <pic:cNvPicPr/>
                  </pic:nvPicPr>
                  <pic:blipFill>
                    <a:blip r:embed="rId9"/>
                    <a:stretch>
                      <a:fillRect/>
                    </a:stretch>
                  </pic:blipFill>
                  <pic:spPr>
                    <a:xfrm>
                      <a:off x="0" y="0"/>
                      <a:ext cx="5669280" cy="3781410"/>
                    </a:xfrm>
                    <a:prstGeom prst="rect">
                      <a:avLst/>
                    </a:prstGeom>
                  </pic:spPr>
                </pic:pic>
              </a:graphicData>
            </a:graphic>
          </wp:inline>
        </w:drawing>
      </w:r>
    </w:p>
    <w:p w14:paraId="6FF5D236" w14:textId="77777777" w:rsidR="00801272" w:rsidRPr="00C80C6F" w:rsidRDefault="009B7718">
      <w:pPr>
        <w:rPr>
          <w:rFonts w:ascii="Work Sans" w:hAnsi="Work Sans"/>
        </w:rPr>
      </w:pPr>
      <w:r w:rsidRPr="00C80C6F">
        <w:rPr>
          <w:rFonts w:ascii="Work Sans" w:hAnsi="Work Sans"/>
          <w:b/>
        </w:rPr>
        <w:t>Kidney function tests assess how well the kidneys filter blood, regulate fluid and electrolytes, and maintain the body's chemical balance. They can help detect and monitor kidney problems but usually do not identify the cause on their own.</w:t>
      </w:r>
    </w:p>
    <w:tbl>
      <w:tblPr>
        <w:tblStyle w:val="TableGrid"/>
        <w:tblW w:w="0" w:type="auto"/>
        <w:jc w:val="center"/>
        <w:tblLook w:val="04A0" w:firstRow="1" w:lastRow="0" w:firstColumn="1" w:lastColumn="0" w:noHBand="0" w:noVBand="1"/>
      </w:tblPr>
      <w:tblGrid>
        <w:gridCol w:w="2695"/>
        <w:gridCol w:w="7519"/>
      </w:tblGrid>
      <w:tr w:rsidR="00801272" w:rsidRPr="00C80C6F" w14:paraId="65A0494F" w14:textId="77777777" w:rsidTr="00A9687A">
        <w:trPr>
          <w:jc w:val="center"/>
        </w:trPr>
        <w:tc>
          <w:tcPr>
            <w:tcW w:w="2695" w:type="dxa"/>
          </w:tcPr>
          <w:p w14:paraId="448E5921" w14:textId="77777777" w:rsidR="00801272" w:rsidRPr="00C80C6F" w:rsidRDefault="009B7718">
            <w:pPr>
              <w:rPr>
                <w:rFonts w:ascii="Work Sans" w:hAnsi="Work Sans"/>
              </w:rPr>
            </w:pPr>
            <w:r w:rsidRPr="00C80C6F">
              <w:rPr>
                <w:rFonts w:ascii="Work Sans" w:hAnsi="Work Sans"/>
                <w:b/>
              </w:rPr>
              <w:t>Test/component</w:t>
            </w:r>
          </w:p>
        </w:tc>
        <w:tc>
          <w:tcPr>
            <w:tcW w:w="7519" w:type="dxa"/>
          </w:tcPr>
          <w:p w14:paraId="23FE160A" w14:textId="77777777" w:rsidR="00801272" w:rsidRPr="00C80C6F" w:rsidRDefault="009B7718">
            <w:pPr>
              <w:rPr>
                <w:rFonts w:ascii="Work Sans" w:hAnsi="Work Sans"/>
              </w:rPr>
            </w:pPr>
            <w:r w:rsidRPr="00C80C6F">
              <w:rPr>
                <w:rFonts w:ascii="Work Sans" w:hAnsi="Work Sans"/>
                <w:b/>
              </w:rPr>
              <w:t>What it assesses</w:t>
            </w:r>
          </w:p>
        </w:tc>
      </w:tr>
      <w:tr w:rsidR="00801272" w:rsidRPr="00C80C6F" w14:paraId="6C0942A3" w14:textId="77777777" w:rsidTr="00A9687A">
        <w:trPr>
          <w:jc w:val="center"/>
        </w:trPr>
        <w:tc>
          <w:tcPr>
            <w:tcW w:w="2695" w:type="dxa"/>
          </w:tcPr>
          <w:p w14:paraId="51294712" w14:textId="77777777" w:rsidR="00801272" w:rsidRPr="00C80C6F" w:rsidRDefault="009B7718">
            <w:pPr>
              <w:rPr>
                <w:rFonts w:ascii="Work Sans" w:hAnsi="Work Sans"/>
              </w:rPr>
            </w:pPr>
            <w:r w:rsidRPr="00C80C6F">
              <w:rPr>
                <w:rFonts w:ascii="Work Sans" w:hAnsi="Work Sans"/>
              </w:rPr>
              <w:t>Creatinine</w:t>
            </w:r>
          </w:p>
        </w:tc>
        <w:tc>
          <w:tcPr>
            <w:tcW w:w="7519" w:type="dxa"/>
          </w:tcPr>
          <w:p w14:paraId="3798628B" w14:textId="77777777" w:rsidR="00801272" w:rsidRPr="00C80C6F" w:rsidRDefault="009B7718">
            <w:pPr>
              <w:rPr>
                <w:rFonts w:ascii="Work Sans" w:hAnsi="Work Sans"/>
              </w:rPr>
            </w:pPr>
            <w:r w:rsidRPr="00C80C6F">
              <w:rPr>
                <w:rFonts w:ascii="Work Sans" w:hAnsi="Work Sans"/>
              </w:rPr>
              <w:t>A waste product produced by muscle metabolism and normally cleared by the kidneys. Blood creatinine is commonly used to estimate kidney filtration.</w:t>
            </w:r>
          </w:p>
        </w:tc>
      </w:tr>
      <w:tr w:rsidR="00801272" w:rsidRPr="00C80C6F" w14:paraId="5F1EC59C" w14:textId="77777777" w:rsidTr="00A9687A">
        <w:trPr>
          <w:jc w:val="center"/>
        </w:trPr>
        <w:tc>
          <w:tcPr>
            <w:tcW w:w="2695" w:type="dxa"/>
          </w:tcPr>
          <w:p w14:paraId="3A4E66BE" w14:textId="77777777" w:rsidR="00801272" w:rsidRPr="00C80C6F" w:rsidRDefault="009B7718">
            <w:pPr>
              <w:rPr>
                <w:rFonts w:ascii="Work Sans" w:hAnsi="Work Sans"/>
              </w:rPr>
            </w:pPr>
            <w:r w:rsidRPr="00C80C6F">
              <w:rPr>
                <w:rFonts w:ascii="Work Sans" w:hAnsi="Work Sans"/>
              </w:rPr>
              <w:t>Urea</w:t>
            </w:r>
          </w:p>
        </w:tc>
        <w:tc>
          <w:tcPr>
            <w:tcW w:w="7519" w:type="dxa"/>
          </w:tcPr>
          <w:p w14:paraId="6CC866DB" w14:textId="77777777" w:rsidR="00801272" w:rsidRPr="00C80C6F" w:rsidRDefault="009B7718">
            <w:pPr>
              <w:rPr>
                <w:rFonts w:ascii="Work Sans" w:hAnsi="Work Sans"/>
              </w:rPr>
            </w:pPr>
            <w:r w:rsidRPr="00C80C6F">
              <w:rPr>
                <w:rFonts w:ascii="Work Sans" w:hAnsi="Work Sans"/>
              </w:rPr>
              <w:t>A nitrogen-containing waste product formed during protein metabolism and excreted by the kidneys. It can be affected by hydration, diet and other factors.</w:t>
            </w:r>
          </w:p>
        </w:tc>
      </w:tr>
      <w:tr w:rsidR="00801272" w:rsidRPr="00C80C6F" w14:paraId="3FD46F6D" w14:textId="77777777" w:rsidTr="00A9687A">
        <w:trPr>
          <w:jc w:val="center"/>
        </w:trPr>
        <w:tc>
          <w:tcPr>
            <w:tcW w:w="2695" w:type="dxa"/>
          </w:tcPr>
          <w:p w14:paraId="3A8FDACC" w14:textId="77777777" w:rsidR="00801272" w:rsidRPr="00C80C6F" w:rsidRDefault="009B7718">
            <w:pPr>
              <w:rPr>
                <w:rFonts w:ascii="Work Sans" w:hAnsi="Work Sans"/>
              </w:rPr>
            </w:pPr>
            <w:r w:rsidRPr="00C80C6F">
              <w:rPr>
                <w:rFonts w:ascii="Work Sans" w:hAnsi="Work Sans"/>
              </w:rPr>
              <w:t>eGFR</w:t>
            </w:r>
          </w:p>
        </w:tc>
        <w:tc>
          <w:tcPr>
            <w:tcW w:w="7519" w:type="dxa"/>
          </w:tcPr>
          <w:p w14:paraId="3BC997E1" w14:textId="77777777" w:rsidR="00801272" w:rsidRPr="00C80C6F" w:rsidRDefault="009B7718">
            <w:pPr>
              <w:rPr>
                <w:rFonts w:ascii="Work Sans" w:hAnsi="Work Sans"/>
              </w:rPr>
            </w:pPr>
            <w:r w:rsidRPr="00C80C6F">
              <w:rPr>
                <w:rFonts w:ascii="Work Sans" w:hAnsi="Work Sans"/>
              </w:rPr>
              <w:t>An estimate of glomerular filtration based mainly on creatinine and demographic/clinical variables. It is used to assess kidney filtration and stage chronic kidney disease when appropriate.</w:t>
            </w:r>
          </w:p>
        </w:tc>
      </w:tr>
      <w:tr w:rsidR="00801272" w:rsidRPr="00C80C6F" w14:paraId="7576E231" w14:textId="77777777" w:rsidTr="00A9687A">
        <w:trPr>
          <w:jc w:val="center"/>
        </w:trPr>
        <w:tc>
          <w:tcPr>
            <w:tcW w:w="2695" w:type="dxa"/>
          </w:tcPr>
          <w:p w14:paraId="53C37686" w14:textId="77777777" w:rsidR="00801272" w:rsidRPr="00C80C6F" w:rsidRDefault="009B7718">
            <w:pPr>
              <w:rPr>
                <w:rFonts w:ascii="Work Sans" w:hAnsi="Work Sans"/>
              </w:rPr>
            </w:pPr>
            <w:r w:rsidRPr="00C80C6F">
              <w:rPr>
                <w:rFonts w:ascii="Work Sans" w:hAnsi="Work Sans"/>
              </w:rPr>
              <w:t>Electrolytes</w:t>
            </w:r>
          </w:p>
        </w:tc>
        <w:tc>
          <w:tcPr>
            <w:tcW w:w="7519" w:type="dxa"/>
          </w:tcPr>
          <w:p w14:paraId="0CA6C8ED" w14:textId="77777777" w:rsidR="00801272" w:rsidRPr="00C80C6F" w:rsidRDefault="009B7718">
            <w:pPr>
              <w:rPr>
                <w:rFonts w:ascii="Work Sans" w:hAnsi="Work Sans"/>
              </w:rPr>
            </w:pPr>
            <w:r w:rsidRPr="00C80C6F">
              <w:rPr>
                <w:rFonts w:ascii="Work Sans" w:hAnsi="Work Sans"/>
              </w:rPr>
              <w:t>Sodium, potassium, chloride and bicarbonate help regulate fluid balance, nerve and muscle function, and acid-base status.</w:t>
            </w:r>
          </w:p>
        </w:tc>
      </w:tr>
      <w:tr w:rsidR="00801272" w:rsidRPr="00C80C6F" w14:paraId="1DC54884" w14:textId="77777777" w:rsidTr="00A9687A">
        <w:trPr>
          <w:jc w:val="center"/>
        </w:trPr>
        <w:tc>
          <w:tcPr>
            <w:tcW w:w="2695" w:type="dxa"/>
          </w:tcPr>
          <w:p w14:paraId="6CD0778C" w14:textId="77777777" w:rsidR="00801272" w:rsidRPr="00C80C6F" w:rsidRDefault="009B7718">
            <w:pPr>
              <w:rPr>
                <w:rFonts w:ascii="Work Sans" w:hAnsi="Work Sans"/>
              </w:rPr>
            </w:pPr>
            <w:r w:rsidRPr="00C80C6F">
              <w:rPr>
                <w:rFonts w:ascii="Work Sans" w:hAnsi="Work Sans"/>
              </w:rPr>
              <w:t>Calcium &amp; phosphate</w:t>
            </w:r>
          </w:p>
        </w:tc>
        <w:tc>
          <w:tcPr>
            <w:tcW w:w="7519" w:type="dxa"/>
          </w:tcPr>
          <w:p w14:paraId="1487188B" w14:textId="77777777" w:rsidR="00801272" w:rsidRPr="00C80C6F" w:rsidRDefault="009B7718">
            <w:pPr>
              <w:rPr>
                <w:rFonts w:ascii="Work Sans" w:hAnsi="Work Sans"/>
              </w:rPr>
            </w:pPr>
            <w:r w:rsidRPr="00C80C6F">
              <w:rPr>
                <w:rFonts w:ascii="Work Sans" w:hAnsi="Work Sans"/>
              </w:rPr>
              <w:t>Important for bone health, muscle and nerve function, energy metabolism and acid-base balance.</w:t>
            </w:r>
          </w:p>
        </w:tc>
      </w:tr>
      <w:tr w:rsidR="00801272" w:rsidRPr="00C80C6F" w14:paraId="6338BA94" w14:textId="77777777" w:rsidTr="00A9687A">
        <w:trPr>
          <w:jc w:val="center"/>
        </w:trPr>
        <w:tc>
          <w:tcPr>
            <w:tcW w:w="2695" w:type="dxa"/>
          </w:tcPr>
          <w:p w14:paraId="347BB663" w14:textId="77777777" w:rsidR="00801272" w:rsidRPr="00C80C6F" w:rsidRDefault="009B7718">
            <w:pPr>
              <w:rPr>
                <w:rFonts w:ascii="Work Sans" w:hAnsi="Work Sans"/>
              </w:rPr>
            </w:pPr>
            <w:r w:rsidRPr="00C80C6F">
              <w:rPr>
                <w:rFonts w:ascii="Work Sans" w:hAnsi="Work Sans"/>
              </w:rPr>
              <w:t>Cystatin C</w:t>
            </w:r>
          </w:p>
        </w:tc>
        <w:tc>
          <w:tcPr>
            <w:tcW w:w="7519" w:type="dxa"/>
          </w:tcPr>
          <w:p w14:paraId="0910C3EB" w14:textId="77777777" w:rsidR="00801272" w:rsidRPr="00C80C6F" w:rsidRDefault="009B7718">
            <w:pPr>
              <w:rPr>
                <w:rFonts w:ascii="Work Sans" w:hAnsi="Work Sans"/>
              </w:rPr>
            </w:pPr>
            <w:r w:rsidRPr="00C80C6F">
              <w:rPr>
                <w:rFonts w:ascii="Work Sans" w:hAnsi="Work Sans"/>
              </w:rPr>
              <w:t>An alternative filtration marker that can be useful in selected patients and may improve estimation of kidney function when creatinine is less reliable.</w:t>
            </w:r>
          </w:p>
        </w:tc>
      </w:tr>
      <w:tr w:rsidR="00801272" w:rsidRPr="00C80C6F" w14:paraId="4FAB292B" w14:textId="77777777" w:rsidTr="00A9687A">
        <w:trPr>
          <w:jc w:val="center"/>
        </w:trPr>
        <w:tc>
          <w:tcPr>
            <w:tcW w:w="2695" w:type="dxa"/>
          </w:tcPr>
          <w:p w14:paraId="125AA00D" w14:textId="77777777" w:rsidR="00801272" w:rsidRPr="00C80C6F" w:rsidRDefault="009B7718">
            <w:pPr>
              <w:rPr>
                <w:rFonts w:ascii="Work Sans" w:hAnsi="Work Sans"/>
              </w:rPr>
            </w:pPr>
            <w:r w:rsidRPr="00C80C6F">
              <w:rPr>
                <w:rFonts w:ascii="Work Sans" w:hAnsi="Work Sans"/>
              </w:rPr>
              <w:t>Glucose</w:t>
            </w:r>
          </w:p>
        </w:tc>
        <w:tc>
          <w:tcPr>
            <w:tcW w:w="7519" w:type="dxa"/>
          </w:tcPr>
          <w:p w14:paraId="39BAD5DC" w14:textId="77777777" w:rsidR="00801272" w:rsidRPr="00C80C6F" w:rsidRDefault="009B7718">
            <w:pPr>
              <w:rPr>
                <w:rFonts w:ascii="Work Sans" w:hAnsi="Work Sans"/>
              </w:rPr>
            </w:pPr>
            <w:r w:rsidRPr="00C80C6F">
              <w:rPr>
                <w:rFonts w:ascii="Work Sans" w:hAnsi="Work Sans"/>
              </w:rPr>
              <w:t>Measured when assessment of glucose metabolism or diabetes is relevant to kidney health.</w:t>
            </w:r>
          </w:p>
        </w:tc>
      </w:tr>
      <w:tr w:rsidR="00801272" w:rsidRPr="00C80C6F" w14:paraId="78BE7787" w14:textId="77777777" w:rsidTr="00A9687A">
        <w:trPr>
          <w:jc w:val="center"/>
        </w:trPr>
        <w:tc>
          <w:tcPr>
            <w:tcW w:w="2695" w:type="dxa"/>
          </w:tcPr>
          <w:p w14:paraId="74574510" w14:textId="77777777" w:rsidR="00801272" w:rsidRPr="00C80C6F" w:rsidRDefault="009B7718">
            <w:pPr>
              <w:rPr>
                <w:rFonts w:ascii="Work Sans" w:hAnsi="Work Sans"/>
              </w:rPr>
            </w:pPr>
            <w:r w:rsidRPr="00C80C6F">
              <w:rPr>
                <w:rFonts w:ascii="Work Sans" w:hAnsi="Work Sans"/>
              </w:rPr>
              <w:t>Albumin</w:t>
            </w:r>
          </w:p>
        </w:tc>
        <w:tc>
          <w:tcPr>
            <w:tcW w:w="7519" w:type="dxa"/>
          </w:tcPr>
          <w:p w14:paraId="53016CF9" w14:textId="77777777" w:rsidR="00801272" w:rsidRPr="00C80C6F" w:rsidRDefault="009B7718">
            <w:pPr>
              <w:rPr>
                <w:rFonts w:ascii="Work Sans" w:hAnsi="Work Sans"/>
              </w:rPr>
            </w:pPr>
            <w:r w:rsidRPr="00C80C6F">
              <w:rPr>
                <w:rFonts w:ascii="Work Sans" w:hAnsi="Work Sans"/>
              </w:rPr>
              <w:t>A major blood protein. Blood albumin may be included as part of a broader assessment, while urine albumin is commonly used to assess kidney damage.</w:t>
            </w:r>
          </w:p>
        </w:tc>
      </w:tr>
    </w:tbl>
    <w:p w14:paraId="16D01D67" w14:textId="77777777" w:rsidR="00801272" w:rsidRPr="00C80C6F" w:rsidRDefault="009B7718">
      <w:pPr>
        <w:rPr>
          <w:rFonts w:ascii="Work Sans" w:hAnsi="Work Sans"/>
        </w:rPr>
      </w:pPr>
      <w:r w:rsidRPr="00C80C6F">
        <w:rPr>
          <w:rFonts w:ascii="Work Sans" w:hAnsi="Work Sans"/>
        </w:rPr>
        <w:br w:type="page"/>
      </w:r>
    </w:p>
    <w:p w14:paraId="4904A9B8" w14:textId="3216D94D"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Full Blood Count (FBC)</w:t>
      </w:r>
    </w:p>
    <w:p w14:paraId="52EFE59D"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7109AB4A" wp14:editId="1AFD296D">
            <wp:extent cx="5669280" cy="31918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_blood_count.png"/>
                    <pic:cNvPicPr/>
                  </pic:nvPicPr>
                  <pic:blipFill>
                    <a:blip r:embed="rId10"/>
                    <a:stretch>
                      <a:fillRect/>
                    </a:stretch>
                  </pic:blipFill>
                  <pic:spPr>
                    <a:xfrm>
                      <a:off x="0" y="0"/>
                      <a:ext cx="5669280" cy="3191805"/>
                    </a:xfrm>
                    <a:prstGeom prst="rect">
                      <a:avLst/>
                    </a:prstGeom>
                  </pic:spPr>
                </pic:pic>
              </a:graphicData>
            </a:graphic>
          </wp:inline>
        </w:drawing>
      </w:r>
    </w:p>
    <w:p w14:paraId="584895D8" w14:textId="77777777" w:rsidR="00801272" w:rsidRPr="00C80C6F" w:rsidRDefault="009B7718">
      <w:pPr>
        <w:rPr>
          <w:rFonts w:ascii="Work Sans" w:hAnsi="Work Sans"/>
        </w:rPr>
      </w:pPr>
      <w:r w:rsidRPr="00C80C6F">
        <w:rPr>
          <w:rFonts w:ascii="Work Sans" w:hAnsi="Work Sans"/>
          <w:b/>
        </w:rPr>
        <w:t>A full blood count (FBC), also called a complete blood count (CBC), measures the major cell types in blood. It is widely used to assess general health and investigate conditions affecting red cells, white cells and platelets.</w:t>
      </w:r>
    </w:p>
    <w:tbl>
      <w:tblPr>
        <w:tblStyle w:val="TableGrid"/>
        <w:tblW w:w="0" w:type="auto"/>
        <w:jc w:val="center"/>
        <w:tblLook w:val="04A0" w:firstRow="1" w:lastRow="0" w:firstColumn="1" w:lastColumn="0" w:noHBand="0" w:noVBand="1"/>
      </w:tblPr>
      <w:tblGrid>
        <w:gridCol w:w="2875"/>
        <w:gridCol w:w="7339"/>
      </w:tblGrid>
      <w:tr w:rsidR="00801272" w:rsidRPr="00C80C6F" w14:paraId="2BFBAFE0" w14:textId="77777777" w:rsidTr="00A9687A">
        <w:trPr>
          <w:jc w:val="center"/>
        </w:trPr>
        <w:tc>
          <w:tcPr>
            <w:tcW w:w="2875" w:type="dxa"/>
          </w:tcPr>
          <w:p w14:paraId="73A96931" w14:textId="77777777" w:rsidR="00801272" w:rsidRPr="00C80C6F" w:rsidRDefault="009B7718">
            <w:pPr>
              <w:rPr>
                <w:rFonts w:ascii="Work Sans" w:hAnsi="Work Sans"/>
              </w:rPr>
            </w:pPr>
            <w:r w:rsidRPr="00C80C6F">
              <w:rPr>
                <w:rFonts w:ascii="Work Sans" w:hAnsi="Work Sans"/>
                <w:b/>
              </w:rPr>
              <w:t>Parameter</w:t>
            </w:r>
          </w:p>
        </w:tc>
        <w:tc>
          <w:tcPr>
            <w:tcW w:w="7339" w:type="dxa"/>
          </w:tcPr>
          <w:p w14:paraId="453561F4" w14:textId="77777777" w:rsidR="00801272" w:rsidRPr="00C80C6F" w:rsidRDefault="009B7718">
            <w:pPr>
              <w:rPr>
                <w:rFonts w:ascii="Work Sans" w:hAnsi="Work Sans"/>
              </w:rPr>
            </w:pPr>
            <w:r w:rsidRPr="00C80C6F">
              <w:rPr>
                <w:rFonts w:ascii="Work Sans" w:hAnsi="Work Sans"/>
                <w:b/>
              </w:rPr>
              <w:t>What it tells us</w:t>
            </w:r>
          </w:p>
        </w:tc>
      </w:tr>
      <w:tr w:rsidR="00801272" w:rsidRPr="00C80C6F" w14:paraId="0CB3AFCA" w14:textId="77777777" w:rsidTr="00A9687A">
        <w:trPr>
          <w:jc w:val="center"/>
        </w:trPr>
        <w:tc>
          <w:tcPr>
            <w:tcW w:w="2875" w:type="dxa"/>
          </w:tcPr>
          <w:p w14:paraId="7196DCDE" w14:textId="77777777" w:rsidR="00801272" w:rsidRPr="00C80C6F" w:rsidRDefault="009B7718">
            <w:pPr>
              <w:rPr>
                <w:rFonts w:ascii="Work Sans" w:hAnsi="Work Sans"/>
              </w:rPr>
            </w:pPr>
            <w:r w:rsidRPr="00C80C6F">
              <w:rPr>
                <w:rFonts w:ascii="Work Sans" w:hAnsi="Work Sans"/>
              </w:rPr>
              <w:t>Red blood cell (RBC) count</w:t>
            </w:r>
          </w:p>
        </w:tc>
        <w:tc>
          <w:tcPr>
            <w:tcW w:w="7339" w:type="dxa"/>
          </w:tcPr>
          <w:p w14:paraId="43A42F34" w14:textId="77777777" w:rsidR="00801272" w:rsidRPr="00C80C6F" w:rsidRDefault="009B7718">
            <w:pPr>
              <w:rPr>
                <w:rFonts w:ascii="Work Sans" w:hAnsi="Work Sans"/>
              </w:rPr>
            </w:pPr>
            <w:r w:rsidRPr="00C80C6F">
              <w:rPr>
                <w:rFonts w:ascii="Work Sans" w:hAnsi="Work Sans"/>
              </w:rPr>
              <w:t>The number of red blood cells, which carry oxygen around the body.</w:t>
            </w:r>
          </w:p>
        </w:tc>
      </w:tr>
      <w:tr w:rsidR="00801272" w:rsidRPr="00C80C6F" w14:paraId="52C1B4C2" w14:textId="77777777" w:rsidTr="00A9687A">
        <w:trPr>
          <w:jc w:val="center"/>
        </w:trPr>
        <w:tc>
          <w:tcPr>
            <w:tcW w:w="2875" w:type="dxa"/>
          </w:tcPr>
          <w:p w14:paraId="646BA050" w14:textId="77777777" w:rsidR="00801272" w:rsidRPr="00C80C6F" w:rsidRDefault="009B7718">
            <w:pPr>
              <w:rPr>
                <w:rFonts w:ascii="Work Sans" w:hAnsi="Work Sans"/>
              </w:rPr>
            </w:pPr>
            <w:r w:rsidRPr="00C80C6F">
              <w:rPr>
                <w:rFonts w:ascii="Work Sans" w:hAnsi="Work Sans"/>
              </w:rPr>
              <w:t>Haemoglobin (Hb)</w:t>
            </w:r>
          </w:p>
        </w:tc>
        <w:tc>
          <w:tcPr>
            <w:tcW w:w="7339" w:type="dxa"/>
          </w:tcPr>
          <w:p w14:paraId="0FF2054A" w14:textId="77777777" w:rsidR="00801272" w:rsidRPr="00C80C6F" w:rsidRDefault="009B7718">
            <w:pPr>
              <w:rPr>
                <w:rFonts w:ascii="Work Sans" w:hAnsi="Work Sans"/>
              </w:rPr>
            </w:pPr>
            <w:r w:rsidRPr="00C80C6F">
              <w:rPr>
                <w:rFonts w:ascii="Work Sans" w:hAnsi="Work Sans"/>
              </w:rPr>
              <w:t>The oxygen-carrying protein in red blood cells. A low level is a common feature of anaemia.</w:t>
            </w:r>
          </w:p>
        </w:tc>
      </w:tr>
      <w:tr w:rsidR="00801272" w:rsidRPr="00C80C6F" w14:paraId="70375922" w14:textId="77777777" w:rsidTr="00A9687A">
        <w:trPr>
          <w:jc w:val="center"/>
        </w:trPr>
        <w:tc>
          <w:tcPr>
            <w:tcW w:w="2875" w:type="dxa"/>
          </w:tcPr>
          <w:p w14:paraId="6C405E40" w14:textId="77777777" w:rsidR="00801272" w:rsidRPr="00C80C6F" w:rsidRDefault="009B7718">
            <w:pPr>
              <w:rPr>
                <w:rFonts w:ascii="Work Sans" w:hAnsi="Work Sans"/>
              </w:rPr>
            </w:pPr>
            <w:r w:rsidRPr="00C80C6F">
              <w:rPr>
                <w:rFonts w:ascii="Work Sans" w:hAnsi="Work Sans"/>
              </w:rPr>
              <w:t>Haematocrit (Hct)</w:t>
            </w:r>
          </w:p>
        </w:tc>
        <w:tc>
          <w:tcPr>
            <w:tcW w:w="7339" w:type="dxa"/>
          </w:tcPr>
          <w:p w14:paraId="7C6CAD0A" w14:textId="77777777" w:rsidR="00801272" w:rsidRPr="00C80C6F" w:rsidRDefault="009B7718">
            <w:pPr>
              <w:rPr>
                <w:rFonts w:ascii="Work Sans" w:hAnsi="Work Sans"/>
              </w:rPr>
            </w:pPr>
            <w:r w:rsidRPr="00C80C6F">
              <w:rPr>
                <w:rFonts w:ascii="Work Sans" w:hAnsi="Work Sans"/>
              </w:rPr>
              <w:t>The proportion of blood made up of red blood cells.</w:t>
            </w:r>
          </w:p>
        </w:tc>
      </w:tr>
      <w:tr w:rsidR="00801272" w:rsidRPr="00C80C6F" w14:paraId="0085B25B" w14:textId="77777777" w:rsidTr="00A9687A">
        <w:trPr>
          <w:jc w:val="center"/>
        </w:trPr>
        <w:tc>
          <w:tcPr>
            <w:tcW w:w="2875" w:type="dxa"/>
          </w:tcPr>
          <w:p w14:paraId="16635AF9" w14:textId="77777777" w:rsidR="00801272" w:rsidRPr="00C80C6F" w:rsidRDefault="009B7718">
            <w:pPr>
              <w:rPr>
                <w:rFonts w:ascii="Work Sans" w:hAnsi="Work Sans"/>
              </w:rPr>
            </w:pPr>
            <w:r w:rsidRPr="00C80C6F">
              <w:rPr>
                <w:rFonts w:ascii="Work Sans" w:hAnsi="Work Sans"/>
              </w:rPr>
              <w:t>MCV</w:t>
            </w:r>
          </w:p>
        </w:tc>
        <w:tc>
          <w:tcPr>
            <w:tcW w:w="7339" w:type="dxa"/>
          </w:tcPr>
          <w:p w14:paraId="7CA5D267" w14:textId="77777777" w:rsidR="00801272" w:rsidRPr="00C80C6F" w:rsidRDefault="009B7718">
            <w:pPr>
              <w:rPr>
                <w:rFonts w:ascii="Work Sans" w:hAnsi="Work Sans"/>
              </w:rPr>
            </w:pPr>
            <w:r w:rsidRPr="00C80C6F">
              <w:rPr>
                <w:rFonts w:ascii="Work Sans" w:hAnsi="Work Sans"/>
              </w:rPr>
              <w:t>Average red-cell size. Low MCV is commonly associated with iron deficiency or thalassaemia; high MCV has several possible causes, including vitamin deficiency and some liver or thyroid disorders.</w:t>
            </w:r>
          </w:p>
        </w:tc>
      </w:tr>
      <w:tr w:rsidR="00801272" w:rsidRPr="00C80C6F" w14:paraId="607D8F52" w14:textId="77777777" w:rsidTr="00A9687A">
        <w:trPr>
          <w:jc w:val="center"/>
        </w:trPr>
        <w:tc>
          <w:tcPr>
            <w:tcW w:w="2875" w:type="dxa"/>
          </w:tcPr>
          <w:p w14:paraId="24180721" w14:textId="77777777" w:rsidR="00801272" w:rsidRPr="00C80C6F" w:rsidRDefault="009B7718">
            <w:pPr>
              <w:rPr>
                <w:rFonts w:ascii="Work Sans" w:hAnsi="Work Sans"/>
              </w:rPr>
            </w:pPr>
            <w:r w:rsidRPr="00C80C6F">
              <w:rPr>
                <w:rFonts w:ascii="Work Sans" w:hAnsi="Work Sans"/>
              </w:rPr>
              <w:t>MCH / MCHC</w:t>
            </w:r>
          </w:p>
        </w:tc>
        <w:tc>
          <w:tcPr>
            <w:tcW w:w="7339" w:type="dxa"/>
          </w:tcPr>
          <w:p w14:paraId="48D64E10" w14:textId="77777777" w:rsidR="00801272" w:rsidRPr="00C80C6F" w:rsidRDefault="009B7718">
            <w:pPr>
              <w:rPr>
                <w:rFonts w:ascii="Work Sans" w:hAnsi="Work Sans"/>
              </w:rPr>
            </w:pPr>
            <w:r w:rsidRPr="00C80C6F">
              <w:rPr>
                <w:rFonts w:ascii="Work Sans" w:hAnsi="Work Sans"/>
              </w:rPr>
              <w:t>Measures related to the amount and concentration of haemoglobin in red blood cells.</w:t>
            </w:r>
          </w:p>
        </w:tc>
      </w:tr>
      <w:tr w:rsidR="00801272" w:rsidRPr="00C80C6F" w14:paraId="62A35BAC" w14:textId="77777777" w:rsidTr="00A9687A">
        <w:trPr>
          <w:jc w:val="center"/>
        </w:trPr>
        <w:tc>
          <w:tcPr>
            <w:tcW w:w="2875" w:type="dxa"/>
          </w:tcPr>
          <w:p w14:paraId="4BF0144E" w14:textId="77777777" w:rsidR="00801272" w:rsidRPr="00C80C6F" w:rsidRDefault="009B7718">
            <w:pPr>
              <w:rPr>
                <w:rFonts w:ascii="Work Sans" w:hAnsi="Work Sans"/>
              </w:rPr>
            </w:pPr>
            <w:r w:rsidRPr="00C80C6F">
              <w:rPr>
                <w:rFonts w:ascii="Work Sans" w:hAnsi="Work Sans"/>
              </w:rPr>
              <w:t>RDW</w:t>
            </w:r>
          </w:p>
        </w:tc>
        <w:tc>
          <w:tcPr>
            <w:tcW w:w="7339" w:type="dxa"/>
          </w:tcPr>
          <w:p w14:paraId="5447D42B" w14:textId="77777777" w:rsidR="00801272" w:rsidRPr="00C80C6F" w:rsidRDefault="009B7718">
            <w:pPr>
              <w:rPr>
                <w:rFonts w:ascii="Work Sans" w:hAnsi="Work Sans"/>
              </w:rPr>
            </w:pPr>
            <w:r w:rsidRPr="00C80C6F">
              <w:rPr>
                <w:rFonts w:ascii="Work Sans" w:hAnsi="Work Sans"/>
              </w:rPr>
              <w:t>Describes variation in red-cell size and can help classify some anaemias.</w:t>
            </w:r>
          </w:p>
        </w:tc>
      </w:tr>
      <w:tr w:rsidR="00801272" w:rsidRPr="00C80C6F" w14:paraId="794B09F4" w14:textId="77777777" w:rsidTr="00A9687A">
        <w:trPr>
          <w:jc w:val="center"/>
        </w:trPr>
        <w:tc>
          <w:tcPr>
            <w:tcW w:w="2875" w:type="dxa"/>
          </w:tcPr>
          <w:p w14:paraId="3000BE76" w14:textId="77777777" w:rsidR="00801272" w:rsidRPr="00C80C6F" w:rsidRDefault="009B7718">
            <w:pPr>
              <w:rPr>
                <w:rFonts w:ascii="Work Sans" w:hAnsi="Work Sans"/>
              </w:rPr>
            </w:pPr>
            <w:r w:rsidRPr="00C80C6F">
              <w:rPr>
                <w:rFonts w:ascii="Work Sans" w:hAnsi="Work Sans"/>
              </w:rPr>
              <w:t>Reticulocyte count</w:t>
            </w:r>
          </w:p>
        </w:tc>
        <w:tc>
          <w:tcPr>
            <w:tcW w:w="7339" w:type="dxa"/>
          </w:tcPr>
          <w:p w14:paraId="27977AB4" w14:textId="77777777" w:rsidR="00801272" w:rsidRPr="00C80C6F" w:rsidRDefault="009B7718">
            <w:pPr>
              <w:rPr>
                <w:rFonts w:ascii="Work Sans" w:hAnsi="Work Sans"/>
              </w:rPr>
            </w:pPr>
            <w:r w:rsidRPr="00C80C6F">
              <w:rPr>
                <w:rFonts w:ascii="Work Sans" w:hAnsi="Work Sans"/>
              </w:rPr>
              <w:t>Measures immature red blood cells and helps assess whether the bone marrow is responding appropriately to anaemia or blood loss.</w:t>
            </w:r>
          </w:p>
        </w:tc>
      </w:tr>
      <w:tr w:rsidR="00801272" w:rsidRPr="00C80C6F" w14:paraId="2CDFC3B0" w14:textId="77777777" w:rsidTr="00A9687A">
        <w:trPr>
          <w:jc w:val="center"/>
        </w:trPr>
        <w:tc>
          <w:tcPr>
            <w:tcW w:w="2875" w:type="dxa"/>
          </w:tcPr>
          <w:p w14:paraId="4EC9C92E" w14:textId="77777777" w:rsidR="00801272" w:rsidRPr="00C80C6F" w:rsidRDefault="009B7718">
            <w:pPr>
              <w:rPr>
                <w:rFonts w:ascii="Work Sans" w:hAnsi="Work Sans"/>
              </w:rPr>
            </w:pPr>
            <w:r w:rsidRPr="00C80C6F">
              <w:rPr>
                <w:rFonts w:ascii="Work Sans" w:hAnsi="Work Sans"/>
              </w:rPr>
              <w:t>White blood cell count &amp; differential</w:t>
            </w:r>
          </w:p>
        </w:tc>
        <w:tc>
          <w:tcPr>
            <w:tcW w:w="7339" w:type="dxa"/>
          </w:tcPr>
          <w:p w14:paraId="2E37C726" w14:textId="77777777" w:rsidR="00801272" w:rsidRPr="00C80C6F" w:rsidRDefault="009B7718">
            <w:pPr>
              <w:rPr>
                <w:rFonts w:ascii="Work Sans" w:hAnsi="Work Sans"/>
              </w:rPr>
            </w:pPr>
            <w:r w:rsidRPr="00C80C6F">
              <w:rPr>
                <w:rFonts w:ascii="Work Sans" w:hAnsi="Work Sans"/>
              </w:rPr>
              <w:t>Assesses immune cells and can provide clues about infection, inflammation, immune disorders and some blood cancers.</w:t>
            </w:r>
          </w:p>
        </w:tc>
      </w:tr>
      <w:tr w:rsidR="00801272" w:rsidRPr="00C80C6F" w14:paraId="79D11185" w14:textId="77777777" w:rsidTr="00A9687A">
        <w:trPr>
          <w:jc w:val="center"/>
        </w:trPr>
        <w:tc>
          <w:tcPr>
            <w:tcW w:w="2875" w:type="dxa"/>
          </w:tcPr>
          <w:p w14:paraId="1F630A56" w14:textId="77777777" w:rsidR="00801272" w:rsidRPr="00C80C6F" w:rsidRDefault="009B7718">
            <w:pPr>
              <w:rPr>
                <w:rFonts w:ascii="Work Sans" w:hAnsi="Work Sans"/>
              </w:rPr>
            </w:pPr>
            <w:r w:rsidRPr="00C80C6F">
              <w:rPr>
                <w:rFonts w:ascii="Work Sans" w:hAnsi="Work Sans"/>
              </w:rPr>
              <w:t>Platelet count / MPV</w:t>
            </w:r>
          </w:p>
        </w:tc>
        <w:tc>
          <w:tcPr>
            <w:tcW w:w="7339" w:type="dxa"/>
          </w:tcPr>
          <w:p w14:paraId="35903F16" w14:textId="77777777" w:rsidR="00801272" w:rsidRPr="00C80C6F" w:rsidRDefault="009B7718">
            <w:pPr>
              <w:rPr>
                <w:rFonts w:ascii="Work Sans" w:hAnsi="Work Sans"/>
              </w:rPr>
            </w:pPr>
            <w:r w:rsidRPr="00C80C6F">
              <w:rPr>
                <w:rFonts w:ascii="Work Sans" w:hAnsi="Work Sans"/>
              </w:rPr>
              <w:t>Platelets are important for clot formation. Platelet count and size can provide information about bleeding/clotting disorders and platelet production.</w:t>
            </w:r>
          </w:p>
        </w:tc>
      </w:tr>
    </w:tbl>
    <w:p w14:paraId="649A160C" w14:textId="77777777" w:rsidR="00801272" w:rsidRPr="00C80C6F" w:rsidRDefault="009B7718" w:rsidP="00C576BD">
      <w:pPr>
        <w:jc w:val="both"/>
        <w:rPr>
          <w:rFonts w:ascii="Work Sans" w:hAnsi="Work Sans"/>
        </w:rPr>
      </w:pPr>
      <w:r w:rsidRPr="00C80C6F">
        <w:rPr>
          <w:rFonts w:ascii="Work Sans" w:hAnsi="Work Sans"/>
          <w:b/>
        </w:rPr>
        <w:t xml:space="preserve">Important: </w:t>
      </w:r>
      <w:r w:rsidRPr="00C80C6F">
        <w:rPr>
          <w:rFonts w:ascii="Work Sans" w:hAnsi="Work Sans"/>
        </w:rPr>
        <w:t>An abnormal FBC is not a diagnosis by itself. Interpretation depends on the pattern of results, symptoms, age, pregnancy status, medicines and the laboratory's reference intervals.</w:t>
      </w:r>
    </w:p>
    <w:p w14:paraId="064CB895" w14:textId="77777777" w:rsidR="00801272" w:rsidRPr="00C80C6F" w:rsidRDefault="009B7718">
      <w:pPr>
        <w:rPr>
          <w:rFonts w:ascii="Work Sans" w:hAnsi="Work Sans"/>
        </w:rPr>
      </w:pPr>
      <w:r w:rsidRPr="00C80C6F">
        <w:rPr>
          <w:rFonts w:ascii="Work Sans" w:hAnsi="Work Sans"/>
        </w:rPr>
        <w:br w:type="page"/>
      </w:r>
    </w:p>
    <w:p w14:paraId="4851E706" w14:textId="381C49D2" w:rsidR="00801272" w:rsidRPr="00C80C6F" w:rsidRDefault="009B7718" w:rsidP="00764806">
      <w:pPr>
        <w:pStyle w:val="Heading1"/>
        <w:numPr>
          <w:ilvl w:val="0"/>
          <w:numId w:val="10"/>
        </w:numPr>
        <w:rPr>
          <w:rFonts w:ascii="Work Sans" w:hAnsi="Work Sans"/>
        </w:rPr>
      </w:pPr>
      <w:proofErr w:type="spellStart"/>
      <w:r w:rsidRPr="00C80C6F">
        <w:rPr>
          <w:rFonts w:ascii="Work Sans" w:hAnsi="Work Sans"/>
        </w:rPr>
        <w:lastRenderedPageBreak/>
        <w:t>Tumour</w:t>
      </w:r>
      <w:proofErr w:type="spellEnd"/>
      <w:r w:rsidRPr="00C80C6F">
        <w:rPr>
          <w:rFonts w:ascii="Work Sans" w:hAnsi="Work Sans"/>
        </w:rPr>
        <w:t xml:space="preserve"> Markers</w:t>
      </w:r>
    </w:p>
    <w:p w14:paraId="0918A22E"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7D2AF1AB" wp14:editId="73861A5D">
            <wp:extent cx="5669280" cy="22166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or_markers.png"/>
                    <pic:cNvPicPr/>
                  </pic:nvPicPr>
                  <pic:blipFill>
                    <a:blip r:embed="rId11"/>
                    <a:stretch>
                      <a:fillRect/>
                    </a:stretch>
                  </pic:blipFill>
                  <pic:spPr>
                    <a:xfrm>
                      <a:off x="0" y="0"/>
                      <a:ext cx="5669280" cy="2216688"/>
                    </a:xfrm>
                    <a:prstGeom prst="rect">
                      <a:avLst/>
                    </a:prstGeom>
                  </pic:spPr>
                </pic:pic>
              </a:graphicData>
            </a:graphic>
          </wp:inline>
        </w:drawing>
      </w:r>
    </w:p>
    <w:p w14:paraId="11127FC0" w14:textId="77777777" w:rsidR="00801272" w:rsidRPr="00C80C6F" w:rsidRDefault="009B7718">
      <w:pPr>
        <w:rPr>
          <w:rFonts w:ascii="Work Sans" w:hAnsi="Work Sans"/>
        </w:rPr>
      </w:pPr>
      <w:r w:rsidRPr="00C80C6F">
        <w:rPr>
          <w:rFonts w:ascii="Work Sans" w:hAnsi="Work Sans"/>
          <w:b/>
        </w:rPr>
        <w:t>Tumour markers are substances that may be produced by cancer cells or by the body in response to cancer. They are measured in blood, urine or other specimens in selected clinical situations.</w:t>
      </w:r>
    </w:p>
    <w:p w14:paraId="0DBBB5B4" w14:textId="77777777" w:rsidR="00801272" w:rsidRPr="00C80C6F" w:rsidRDefault="009B7718">
      <w:pPr>
        <w:pStyle w:val="Heading2"/>
        <w:rPr>
          <w:rFonts w:ascii="Work Sans" w:hAnsi="Work Sans"/>
        </w:rPr>
      </w:pPr>
      <w:r w:rsidRPr="00C80C6F">
        <w:rPr>
          <w:rFonts w:ascii="Work Sans" w:hAnsi="Work Sans"/>
        </w:rPr>
        <w:t>What tumour markers can do</w:t>
      </w:r>
    </w:p>
    <w:p w14:paraId="753682C5" w14:textId="77777777" w:rsidR="00801272" w:rsidRPr="00C80C6F" w:rsidRDefault="009B7718">
      <w:pPr>
        <w:rPr>
          <w:rFonts w:ascii="Work Sans" w:hAnsi="Work Sans"/>
        </w:rPr>
      </w:pPr>
      <w:r w:rsidRPr="00C80C6F">
        <w:rPr>
          <w:rFonts w:ascii="Work Sans" w:hAnsi="Work Sans"/>
        </w:rPr>
        <w:t>Depending on the marker and cancer type, testing may support evaluation of symptoms, help with staging or prognosis, guide selected treatment decisions, monitor response to treatment, or help detect recurrence.</w:t>
      </w:r>
    </w:p>
    <w:p w14:paraId="4743AB3D" w14:textId="77777777" w:rsidR="00801272" w:rsidRPr="00C80C6F" w:rsidRDefault="009B7718">
      <w:pPr>
        <w:pStyle w:val="Heading2"/>
        <w:rPr>
          <w:rFonts w:ascii="Work Sans" w:hAnsi="Work Sans"/>
        </w:rPr>
      </w:pPr>
      <w:r w:rsidRPr="00C80C6F">
        <w:rPr>
          <w:rFonts w:ascii="Work Sans" w:hAnsi="Work Sans"/>
        </w:rPr>
        <w:t>What tumour markers cannot do</w:t>
      </w:r>
    </w:p>
    <w:p w14:paraId="0A0D1DC1" w14:textId="77777777" w:rsidR="00801272" w:rsidRPr="00C80C6F" w:rsidRDefault="009B7718">
      <w:pPr>
        <w:rPr>
          <w:rFonts w:ascii="Work Sans" w:hAnsi="Work Sans"/>
        </w:rPr>
      </w:pPr>
      <w:r w:rsidRPr="00C80C6F">
        <w:rPr>
          <w:rFonts w:ascii="Work Sans" w:hAnsi="Work Sans"/>
        </w:rPr>
        <w:t>Most tumour markers are not sufficiently specific or sensitive to diagnose cancer on their own, and many are not suitable for general population screening. Benign conditions can also increase tumour-marker levels.</w:t>
      </w:r>
    </w:p>
    <w:tbl>
      <w:tblPr>
        <w:tblStyle w:val="TableGrid"/>
        <w:tblW w:w="0" w:type="auto"/>
        <w:jc w:val="center"/>
        <w:tblLook w:val="04A0" w:firstRow="1" w:lastRow="0" w:firstColumn="1" w:lastColumn="0" w:noHBand="0" w:noVBand="1"/>
      </w:tblPr>
      <w:tblGrid>
        <w:gridCol w:w="2335"/>
        <w:gridCol w:w="4473"/>
        <w:gridCol w:w="3406"/>
      </w:tblGrid>
      <w:tr w:rsidR="00801272" w:rsidRPr="00C80C6F" w14:paraId="7DFC6562" w14:textId="77777777" w:rsidTr="00A9687A">
        <w:trPr>
          <w:jc w:val="center"/>
        </w:trPr>
        <w:tc>
          <w:tcPr>
            <w:tcW w:w="2335" w:type="dxa"/>
          </w:tcPr>
          <w:p w14:paraId="343B1961" w14:textId="77777777" w:rsidR="00801272" w:rsidRPr="00C80C6F" w:rsidRDefault="009B7718">
            <w:pPr>
              <w:rPr>
                <w:rFonts w:ascii="Work Sans" w:hAnsi="Work Sans"/>
              </w:rPr>
            </w:pPr>
            <w:r w:rsidRPr="00C80C6F">
              <w:rPr>
                <w:rFonts w:ascii="Work Sans" w:hAnsi="Work Sans"/>
                <w:b/>
              </w:rPr>
              <w:t>Marker</w:t>
            </w:r>
          </w:p>
        </w:tc>
        <w:tc>
          <w:tcPr>
            <w:tcW w:w="4473" w:type="dxa"/>
          </w:tcPr>
          <w:p w14:paraId="5A4974C7" w14:textId="77777777" w:rsidR="00801272" w:rsidRPr="00C80C6F" w:rsidRDefault="009B7718">
            <w:pPr>
              <w:rPr>
                <w:rFonts w:ascii="Work Sans" w:hAnsi="Work Sans"/>
              </w:rPr>
            </w:pPr>
            <w:r w:rsidRPr="00C80C6F">
              <w:rPr>
                <w:rFonts w:ascii="Work Sans" w:hAnsi="Work Sans"/>
                <w:b/>
              </w:rPr>
              <w:t>Common clinical associations</w:t>
            </w:r>
          </w:p>
        </w:tc>
        <w:tc>
          <w:tcPr>
            <w:tcW w:w="3406" w:type="dxa"/>
          </w:tcPr>
          <w:p w14:paraId="4F11EEA1" w14:textId="77777777" w:rsidR="00801272" w:rsidRPr="00C80C6F" w:rsidRDefault="009B7718">
            <w:pPr>
              <w:rPr>
                <w:rFonts w:ascii="Work Sans" w:hAnsi="Work Sans"/>
              </w:rPr>
            </w:pPr>
            <w:r w:rsidRPr="00C80C6F">
              <w:rPr>
                <w:rFonts w:ascii="Work Sans" w:hAnsi="Work Sans"/>
                <w:b/>
              </w:rPr>
              <w:t>Typical use*</w:t>
            </w:r>
          </w:p>
        </w:tc>
      </w:tr>
      <w:tr w:rsidR="00801272" w:rsidRPr="00C80C6F" w14:paraId="5962FB67" w14:textId="77777777" w:rsidTr="00A9687A">
        <w:trPr>
          <w:jc w:val="center"/>
        </w:trPr>
        <w:tc>
          <w:tcPr>
            <w:tcW w:w="2335" w:type="dxa"/>
          </w:tcPr>
          <w:p w14:paraId="56CA6B11" w14:textId="77777777" w:rsidR="00801272" w:rsidRPr="00C80C6F" w:rsidRDefault="009B7718">
            <w:pPr>
              <w:rPr>
                <w:rFonts w:ascii="Work Sans" w:hAnsi="Work Sans"/>
              </w:rPr>
            </w:pPr>
            <w:r w:rsidRPr="00C80C6F">
              <w:rPr>
                <w:rFonts w:ascii="Work Sans" w:hAnsi="Work Sans"/>
              </w:rPr>
              <w:t>CA 15-3</w:t>
            </w:r>
          </w:p>
        </w:tc>
        <w:tc>
          <w:tcPr>
            <w:tcW w:w="4473" w:type="dxa"/>
          </w:tcPr>
          <w:p w14:paraId="2E7A5ECB" w14:textId="77777777" w:rsidR="00801272" w:rsidRPr="00C80C6F" w:rsidRDefault="009B7718">
            <w:pPr>
              <w:rPr>
                <w:rFonts w:ascii="Work Sans" w:hAnsi="Work Sans"/>
              </w:rPr>
            </w:pPr>
            <w:r w:rsidRPr="00C80C6F">
              <w:rPr>
                <w:rFonts w:ascii="Work Sans" w:hAnsi="Work Sans"/>
              </w:rPr>
              <w:t>Breast cancer; may also rise in some other cancers and benign conditions</w:t>
            </w:r>
          </w:p>
        </w:tc>
        <w:tc>
          <w:tcPr>
            <w:tcW w:w="3406" w:type="dxa"/>
          </w:tcPr>
          <w:p w14:paraId="27934FA4" w14:textId="77777777" w:rsidR="00801272" w:rsidRPr="00C80C6F" w:rsidRDefault="009B7718">
            <w:pPr>
              <w:rPr>
                <w:rFonts w:ascii="Work Sans" w:hAnsi="Work Sans"/>
              </w:rPr>
            </w:pPr>
            <w:r w:rsidRPr="00C80C6F">
              <w:rPr>
                <w:rFonts w:ascii="Work Sans" w:hAnsi="Work Sans"/>
              </w:rPr>
              <w:t>Selected monitoring and recurrence assessment</w:t>
            </w:r>
          </w:p>
        </w:tc>
      </w:tr>
      <w:tr w:rsidR="00801272" w:rsidRPr="00C80C6F" w14:paraId="7CCD3AC4" w14:textId="77777777" w:rsidTr="00A9687A">
        <w:trPr>
          <w:jc w:val="center"/>
        </w:trPr>
        <w:tc>
          <w:tcPr>
            <w:tcW w:w="2335" w:type="dxa"/>
          </w:tcPr>
          <w:p w14:paraId="45537A6E" w14:textId="77777777" w:rsidR="00801272" w:rsidRPr="00C80C6F" w:rsidRDefault="009B7718">
            <w:pPr>
              <w:rPr>
                <w:rFonts w:ascii="Work Sans" w:hAnsi="Work Sans"/>
              </w:rPr>
            </w:pPr>
            <w:r w:rsidRPr="00C80C6F">
              <w:rPr>
                <w:rFonts w:ascii="Work Sans" w:hAnsi="Work Sans"/>
              </w:rPr>
              <w:t>CA 19-9</w:t>
            </w:r>
          </w:p>
        </w:tc>
        <w:tc>
          <w:tcPr>
            <w:tcW w:w="4473" w:type="dxa"/>
          </w:tcPr>
          <w:p w14:paraId="2E8CA9E6" w14:textId="77777777" w:rsidR="00801272" w:rsidRPr="00C80C6F" w:rsidRDefault="009B7718">
            <w:pPr>
              <w:rPr>
                <w:rFonts w:ascii="Work Sans" w:hAnsi="Work Sans"/>
              </w:rPr>
            </w:pPr>
            <w:r w:rsidRPr="00C80C6F">
              <w:rPr>
                <w:rFonts w:ascii="Work Sans" w:hAnsi="Work Sans"/>
              </w:rPr>
              <w:t>Pancreatic and biliary cancers; may rise in benign biliary/pancreatic disease</w:t>
            </w:r>
          </w:p>
        </w:tc>
        <w:tc>
          <w:tcPr>
            <w:tcW w:w="3406" w:type="dxa"/>
          </w:tcPr>
          <w:p w14:paraId="655EB185" w14:textId="77777777" w:rsidR="00801272" w:rsidRPr="00C80C6F" w:rsidRDefault="009B7718">
            <w:pPr>
              <w:rPr>
                <w:rFonts w:ascii="Work Sans" w:hAnsi="Work Sans"/>
              </w:rPr>
            </w:pPr>
            <w:r w:rsidRPr="00C80C6F">
              <w:rPr>
                <w:rFonts w:ascii="Work Sans" w:hAnsi="Work Sans"/>
              </w:rPr>
              <w:t>Selected monitoring and response assessment</w:t>
            </w:r>
          </w:p>
        </w:tc>
      </w:tr>
      <w:tr w:rsidR="00801272" w:rsidRPr="00C80C6F" w14:paraId="7FABFF96" w14:textId="77777777" w:rsidTr="00A9687A">
        <w:trPr>
          <w:jc w:val="center"/>
        </w:trPr>
        <w:tc>
          <w:tcPr>
            <w:tcW w:w="2335" w:type="dxa"/>
          </w:tcPr>
          <w:p w14:paraId="68547048" w14:textId="77777777" w:rsidR="00801272" w:rsidRPr="00C80C6F" w:rsidRDefault="009B7718">
            <w:pPr>
              <w:rPr>
                <w:rFonts w:ascii="Work Sans" w:hAnsi="Work Sans"/>
              </w:rPr>
            </w:pPr>
            <w:r w:rsidRPr="00C80C6F">
              <w:rPr>
                <w:rFonts w:ascii="Work Sans" w:hAnsi="Work Sans"/>
              </w:rPr>
              <w:t>CA-125</w:t>
            </w:r>
          </w:p>
        </w:tc>
        <w:tc>
          <w:tcPr>
            <w:tcW w:w="4473" w:type="dxa"/>
          </w:tcPr>
          <w:p w14:paraId="0A645666" w14:textId="77777777" w:rsidR="00801272" w:rsidRPr="00C80C6F" w:rsidRDefault="009B7718">
            <w:pPr>
              <w:rPr>
                <w:rFonts w:ascii="Work Sans" w:hAnsi="Work Sans"/>
              </w:rPr>
            </w:pPr>
            <w:r w:rsidRPr="00C80C6F">
              <w:rPr>
                <w:rFonts w:ascii="Work Sans" w:hAnsi="Work Sans"/>
              </w:rPr>
              <w:t>Ovarian and other gynaecologic malignancies; may rise in benign conditions such as endometriosis</w:t>
            </w:r>
          </w:p>
        </w:tc>
        <w:tc>
          <w:tcPr>
            <w:tcW w:w="3406" w:type="dxa"/>
          </w:tcPr>
          <w:p w14:paraId="46532B2C" w14:textId="77777777" w:rsidR="00801272" w:rsidRPr="00C80C6F" w:rsidRDefault="009B7718">
            <w:pPr>
              <w:rPr>
                <w:rFonts w:ascii="Work Sans" w:hAnsi="Work Sans"/>
              </w:rPr>
            </w:pPr>
            <w:r w:rsidRPr="00C80C6F">
              <w:rPr>
                <w:rFonts w:ascii="Work Sans" w:hAnsi="Work Sans"/>
              </w:rPr>
              <w:t>Selected evaluation and monitoring</w:t>
            </w:r>
          </w:p>
        </w:tc>
      </w:tr>
      <w:tr w:rsidR="00801272" w:rsidRPr="00C80C6F" w14:paraId="6DF17117" w14:textId="77777777" w:rsidTr="00A9687A">
        <w:trPr>
          <w:jc w:val="center"/>
        </w:trPr>
        <w:tc>
          <w:tcPr>
            <w:tcW w:w="2335" w:type="dxa"/>
          </w:tcPr>
          <w:p w14:paraId="04791E13" w14:textId="77777777" w:rsidR="00801272" w:rsidRPr="00C80C6F" w:rsidRDefault="009B7718">
            <w:pPr>
              <w:rPr>
                <w:rFonts w:ascii="Work Sans" w:hAnsi="Work Sans"/>
              </w:rPr>
            </w:pPr>
            <w:r w:rsidRPr="00C80C6F">
              <w:rPr>
                <w:rFonts w:ascii="Work Sans" w:hAnsi="Work Sans"/>
              </w:rPr>
              <w:t>CEA</w:t>
            </w:r>
          </w:p>
        </w:tc>
        <w:tc>
          <w:tcPr>
            <w:tcW w:w="4473" w:type="dxa"/>
          </w:tcPr>
          <w:p w14:paraId="358366B1" w14:textId="77777777" w:rsidR="00801272" w:rsidRPr="00C80C6F" w:rsidRDefault="009B7718">
            <w:pPr>
              <w:rPr>
                <w:rFonts w:ascii="Work Sans" w:hAnsi="Work Sans"/>
              </w:rPr>
            </w:pPr>
            <w:r w:rsidRPr="00C80C6F">
              <w:rPr>
                <w:rFonts w:ascii="Work Sans" w:hAnsi="Work Sans"/>
              </w:rPr>
              <w:t>Colorectal and several other cancers; may also rise in benign disease and in smokers</w:t>
            </w:r>
          </w:p>
        </w:tc>
        <w:tc>
          <w:tcPr>
            <w:tcW w:w="3406" w:type="dxa"/>
          </w:tcPr>
          <w:p w14:paraId="0D075917" w14:textId="77777777" w:rsidR="00801272" w:rsidRPr="00C80C6F" w:rsidRDefault="009B7718">
            <w:pPr>
              <w:rPr>
                <w:rFonts w:ascii="Work Sans" w:hAnsi="Work Sans"/>
              </w:rPr>
            </w:pPr>
            <w:r w:rsidRPr="00C80C6F">
              <w:rPr>
                <w:rFonts w:ascii="Work Sans" w:hAnsi="Work Sans"/>
              </w:rPr>
              <w:t>Monitoring selected cancers and recurrence</w:t>
            </w:r>
          </w:p>
        </w:tc>
      </w:tr>
      <w:tr w:rsidR="00801272" w:rsidRPr="00C80C6F" w14:paraId="6A57EB9F" w14:textId="77777777" w:rsidTr="00A9687A">
        <w:trPr>
          <w:jc w:val="center"/>
        </w:trPr>
        <w:tc>
          <w:tcPr>
            <w:tcW w:w="2335" w:type="dxa"/>
          </w:tcPr>
          <w:p w14:paraId="628C5FDC" w14:textId="77777777" w:rsidR="00801272" w:rsidRPr="00C80C6F" w:rsidRDefault="009B7718">
            <w:pPr>
              <w:rPr>
                <w:rFonts w:ascii="Work Sans" w:hAnsi="Work Sans"/>
              </w:rPr>
            </w:pPr>
            <w:r w:rsidRPr="00C80C6F">
              <w:rPr>
                <w:rFonts w:ascii="Cambria" w:hAnsi="Cambria" w:cs="Cambria"/>
              </w:rPr>
              <w:t>β</w:t>
            </w:r>
            <w:r w:rsidRPr="00C80C6F">
              <w:rPr>
                <w:rFonts w:ascii="Work Sans" w:hAnsi="Work Sans"/>
              </w:rPr>
              <w:t>-hCG</w:t>
            </w:r>
          </w:p>
        </w:tc>
        <w:tc>
          <w:tcPr>
            <w:tcW w:w="4473" w:type="dxa"/>
          </w:tcPr>
          <w:p w14:paraId="3E467954" w14:textId="77777777" w:rsidR="00801272" w:rsidRPr="00C80C6F" w:rsidRDefault="009B7718">
            <w:pPr>
              <w:rPr>
                <w:rFonts w:ascii="Work Sans" w:hAnsi="Work Sans"/>
              </w:rPr>
            </w:pPr>
            <w:r w:rsidRPr="00C80C6F">
              <w:rPr>
                <w:rFonts w:ascii="Work Sans" w:hAnsi="Work Sans"/>
              </w:rPr>
              <w:t>Pregnancy and selected germ-cell/trophoblastic tumours</w:t>
            </w:r>
          </w:p>
        </w:tc>
        <w:tc>
          <w:tcPr>
            <w:tcW w:w="3406" w:type="dxa"/>
          </w:tcPr>
          <w:p w14:paraId="30A94F67" w14:textId="77777777" w:rsidR="00801272" w:rsidRPr="00C80C6F" w:rsidRDefault="009B7718">
            <w:pPr>
              <w:rPr>
                <w:rFonts w:ascii="Work Sans" w:hAnsi="Work Sans"/>
              </w:rPr>
            </w:pPr>
            <w:r w:rsidRPr="00C80C6F">
              <w:rPr>
                <w:rFonts w:ascii="Work Sans" w:hAnsi="Work Sans"/>
              </w:rPr>
              <w:t>Diagnosis/supportive evaluation and monitoring in appropriate settings</w:t>
            </w:r>
          </w:p>
        </w:tc>
      </w:tr>
      <w:tr w:rsidR="00801272" w:rsidRPr="00C80C6F" w14:paraId="726D0AA9" w14:textId="77777777" w:rsidTr="00A9687A">
        <w:trPr>
          <w:jc w:val="center"/>
        </w:trPr>
        <w:tc>
          <w:tcPr>
            <w:tcW w:w="2335" w:type="dxa"/>
          </w:tcPr>
          <w:p w14:paraId="49F71E5C" w14:textId="77777777" w:rsidR="00801272" w:rsidRPr="00C80C6F" w:rsidRDefault="009B7718">
            <w:pPr>
              <w:rPr>
                <w:rFonts w:ascii="Work Sans" w:hAnsi="Work Sans"/>
              </w:rPr>
            </w:pPr>
            <w:r w:rsidRPr="00C80C6F">
              <w:rPr>
                <w:rFonts w:ascii="Work Sans" w:hAnsi="Work Sans"/>
              </w:rPr>
              <w:t>PSA</w:t>
            </w:r>
          </w:p>
        </w:tc>
        <w:tc>
          <w:tcPr>
            <w:tcW w:w="4473" w:type="dxa"/>
          </w:tcPr>
          <w:p w14:paraId="285482F8" w14:textId="77777777" w:rsidR="00801272" w:rsidRPr="00C80C6F" w:rsidRDefault="009B7718">
            <w:pPr>
              <w:rPr>
                <w:rFonts w:ascii="Work Sans" w:hAnsi="Work Sans"/>
              </w:rPr>
            </w:pPr>
            <w:r w:rsidRPr="00C80C6F">
              <w:rPr>
                <w:rFonts w:ascii="Work Sans" w:hAnsi="Work Sans"/>
              </w:rPr>
              <w:t>Prostate tissue; increased with prostate cancer and also with benign prostatic enlargement or inflammation</w:t>
            </w:r>
          </w:p>
        </w:tc>
        <w:tc>
          <w:tcPr>
            <w:tcW w:w="3406" w:type="dxa"/>
          </w:tcPr>
          <w:p w14:paraId="4D312BE0" w14:textId="77777777" w:rsidR="00801272" w:rsidRPr="00C80C6F" w:rsidRDefault="009B7718">
            <w:pPr>
              <w:rPr>
                <w:rFonts w:ascii="Work Sans" w:hAnsi="Work Sans"/>
              </w:rPr>
            </w:pPr>
            <w:r w:rsidRPr="00C80C6F">
              <w:rPr>
                <w:rFonts w:ascii="Work Sans" w:hAnsi="Work Sans"/>
              </w:rPr>
              <w:t>Risk assessment, diagnosis support and monitoring; screening decisions are individualized</w:t>
            </w:r>
          </w:p>
        </w:tc>
      </w:tr>
    </w:tbl>
    <w:p w14:paraId="5C3EF0E0" w14:textId="77777777" w:rsidR="00801272" w:rsidRPr="00C80C6F" w:rsidRDefault="009B7718">
      <w:pPr>
        <w:rPr>
          <w:rFonts w:ascii="Work Sans" w:hAnsi="Work Sans"/>
        </w:rPr>
      </w:pPr>
      <w:r w:rsidRPr="00C80C6F">
        <w:rPr>
          <w:rFonts w:ascii="Work Sans" w:hAnsi="Work Sans"/>
          <w:b/>
        </w:rPr>
        <w:t xml:space="preserve">Important: </w:t>
      </w:r>
      <w:r w:rsidRPr="00C80C6F">
        <w:rPr>
          <w:rFonts w:ascii="Work Sans" w:hAnsi="Work Sans"/>
        </w:rPr>
        <w:t>*Use is cancer- and patient-specific. A tumour-marker result should never be interpreted in isolation.</w:t>
      </w:r>
    </w:p>
    <w:p w14:paraId="75ABA866" w14:textId="77777777" w:rsidR="00801272" w:rsidRPr="00C80C6F" w:rsidRDefault="009B7718">
      <w:pPr>
        <w:rPr>
          <w:rFonts w:ascii="Work Sans" w:hAnsi="Work Sans"/>
        </w:rPr>
      </w:pPr>
      <w:r w:rsidRPr="00C80C6F">
        <w:rPr>
          <w:rFonts w:ascii="Work Sans" w:hAnsi="Work Sans"/>
        </w:rPr>
        <w:br w:type="page"/>
      </w:r>
    </w:p>
    <w:p w14:paraId="556847E4" w14:textId="1FD35134"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Lipid Profile</w:t>
      </w:r>
    </w:p>
    <w:p w14:paraId="1C9AD2F7"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7AAE5BB1" wp14:editId="0E008386">
            <wp:extent cx="5669280" cy="34866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pid_profile.png"/>
                    <pic:cNvPicPr/>
                  </pic:nvPicPr>
                  <pic:blipFill>
                    <a:blip r:embed="rId12"/>
                    <a:stretch>
                      <a:fillRect/>
                    </a:stretch>
                  </pic:blipFill>
                  <pic:spPr>
                    <a:xfrm>
                      <a:off x="0" y="0"/>
                      <a:ext cx="5669280" cy="3486606"/>
                    </a:xfrm>
                    <a:prstGeom prst="rect">
                      <a:avLst/>
                    </a:prstGeom>
                  </pic:spPr>
                </pic:pic>
              </a:graphicData>
            </a:graphic>
          </wp:inline>
        </w:drawing>
      </w:r>
    </w:p>
    <w:p w14:paraId="7A9C1F19" w14:textId="77777777" w:rsidR="00801272" w:rsidRPr="00C80C6F" w:rsidRDefault="009B7718">
      <w:pPr>
        <w:rPr>
          <w:rFonts w:ascii="Work Sans" w:hAnsi="Work Sans"/>
        </w:rPr>
      </w:pPr>
      <w:r w:rsidRPr="00C80C6F">
        <w:rPr>
          <w:rFonts w:ascii="Work Sans" w:hAnsi="Work Sans"/>
          <w:b/>
        </w:rPr>
        <w:t>A lipid profile measures blood fats and cholesterol to help assess cardiovascular risk. Results are interpreted together with other risk factors such as age, blood pressure, diabetes, smoking history and family history.</w:t>
      </w:r>
    </w:p>
    <w:tbl>
      <w:tblPr>
        <w:tblStyle w:val="TableGrid"/>
        <w:tblW w:w="0" w:type="auto"/>
        <w:jc w:val="center"/>
        <w:tblLook w:val="04A0" w:firstRow="1" w:lastRow="0" w:firstColumn="1" w:lastColumn="0" w:noHBand="0" w:noVBand="1"/>
      </w:tblPr>
      <w:tblGrid>
        <w:gridCol w:w="3325"/>
        <w:gridCol w:w="6889"/>
      </w:tblGrid>
      <w:tr w:rsidR="00801272" w:rsidRPr="00C80C6F" w14:paraId="3ACD8A69" w14:textId="77777777" w:rsidTr="00A9687A">
        <w:trPr>
          <w:jc w:val="center"/>
        </w:trPr>
        <w:tc>
          <w:tcPr>
            <w:tcW w:w="3325" w:type="dxa"/>
          </w:tcPr>
          <w:p w14:paraId="52620C53" w14:textId="77777777" w:rsidR="00801272" w:rsidRPr="00C80C6F" w:rsidRDefault="009B7718">
            <w:pPr>
              <w:rPr>
                <w:rFonts w:ascii="Work Sans" w:hAnsi="Work Sans"/>
              </w:rPr>
            </w:pPr>
            <w:r w:rsidRPr="00C80C6F">
              <w:rPr>
                <w:rFonts w:ascii="Work Sans" w:hAnsi="Work Sans"/>
                <w:b/>
              </w:rPr>
              <w:t>Component</w:t>
            </w:r>
          </w:p>
        </w:tc>
        <w:tc>
          <w:tcPr>
            <w:tcW w:w="6889" w:type="dxa"/>
          </w:tcPr>
          <w:p w14:paraId="167FAAF1" w14:textId="77777777" w:rsidR="00801272" w:rsidRPr="00C80C6F" w:rsidRDefault="009B7718">
            <w:pPr>
              <w:rPr>
                <w:rFonts w:ascii="Work Sans" w:hAnsi="Work Sans"/>
              </w:rPr>
            </w:pPr>
            <w:r w:rsidRPr="00C80C6F">
              <w:rPr>
                <w:rFonts w:ascii="Work Sans" w:hAnsi="Work Sans"/>
                <w:b/>
              </w:rPr>
              <w:t>Meaning</w:t>
            </w:r>
          </w:p>
        </w:tc>
      </w:tr>
      <w:tr w:rsidR="00801272" w:rsidRPr="00C80C6F" w14:paraId="1E8B8B92" w14:textId="77777777" w:rsidTr="00A9687A">
        <w:trPr>
          <w:jc w:val="center"/>
        </w:trPr>
        <w:tc>
          <w:tcPr>
            <w:tcW w:w="3325" w:type="dxa"/>
          </w:tcPr>
          <w:p w14:paraId="7A43B416" w14:textId="77777777" w:rsidR="00801272" w:rsidRPr="00C80C6F" w:rsidRDefault="009B7718">
            <w:pPr>
              <w:rPr>
                <w:rFonts w:ascii="Work Sans" w:hAnsi="Work Sans"/>
              </w:rPr>
            </w:pPr>
            <w:r w:rsidRPr="00C80C6F">
              <w:rPr>
                <w:rFonts w:ascii="Work Sans" w:hAnsi="Work Sans"/>
              </w:rPr>
              <w:t>Total cholesterol</w:t>
            </w:r>
          </w:p>
        </w:tc>
        <w:tc>
          <w:tcPr>
            <w:tcW w:w="6889" w:type="dxa"/>
          </w:tcPr>
          <w:p w14:paraId="126096F2" w14:textId="77777777" w:rsidR="00801272" w:rsidRPr="00C80C6F" w:rsidRDefault="009B7718">
            <w:pPr>
              <w:rPr>
                <w:rFonts w:ascii="Work Sans" w:hAnsi="Work Sans"/>
              </w:rPr>
            </w:pPr>
            <w:r w:rsidRPr="00C80C6F">
              <w:rPr>
                <w:rFonts w:ascii="Work Sans" w:hAnsi="Work Sans"/>
              </w:rPr>
              <w:t>The total amount of cholesterol carried by lipoproteins in the blood.</w:t>
            </w:r>
          </w:p>
        </w:tc>
      </w:tr>
      <w:tr w:rsidR="00801272" w:rsidRPr="00C80C6F" w14:paraId="24456293" w14:textId="77777777" w:rsidTr="00A9687A">
        <w:trPr>
          <w:jc w:val="center"/>
        </w:trPr>
        <w:tc>
          <w:tcPr>
            <w:tcW w:w="3325" w:type="dxa"/>
          </w:tcPr>
          <w:p w14:paraId="6A7628B8" w14:textId="77777777" w:rsidR="00801272" w:rsidRPr="00C80C6F" w:rsidRDefault="009B7718">
            <w:pPr>
              <w:rPr>
                <w:rFonts w:ascii="Work Sans" w:hAnsi="Work Sans"/>
              </w:rPr>
            </w:pPr>
            <w:r w:rsidRPr="00C80C6F">
              <w:rPr>
                <w:rFonts w:ascii="Work Sans" w:hAnsi="Work Sans"/>
              </w:rPr>
              <w:t>LDL cholesterol</w:t>
            </w:r>
          </w:p>
        </w:tc>
        <w:tc>
          <w:tcPr>
            <w:tcW w:w="6889" w:type="dxa"/>
          </w:tcPr>
          <w:p w14:paraId="5204FC06" w14:textId="77777777" w:rsidR="00801272" w:rsidRPr="00C80C6F" w:rsidRDefault="009B7718">
            <w:pPr>
              <w:rPr>
                <w:rFonts w:ascii="Work Sans" w:hAnsi="Work Sans"/>
              </w:rPr>
            </w:pPr>
            <w:r w:rsidRPr="00C80C6F">
              <w:rPr>
                <w:rFonts w:ascii="Work Sans" w:hAnsi="Work Sans"/>
              </w:rPr>
              <w:t>Often called 'bad' cholesterol. Higher levels are associated with atherosclerotic cardiovascular disease risk.</w:t>
            </w:r>
          </w:p>
        </w:tc>
      </w:tr>
      <w:tr w:rsidR="00801272" w:rsidRPr="00C80C6F" w14:paraId="73C4ECBA" w14:textId="77777777" w:rsidTr="00A9687A">
        <w:trPr>
          <w:jc w:val="center"/>
        </w:trPr>
        <w:tc>
          <w:tcPr>
            <w:tcW w:w="3325" w:type="dxa"/>
          </w:tcPr>
          <w:p w14:paraId="14E36690" w14:textId="77777777" w:rsidR="00801272" w:rsidRPr="00C80C6F" w:rsidRDefault="009B7718">
            <w:pPr>
              <w:rPr>
                <w:rFonts w:ascii="Work Sans" w:hAnsi="Work Sans"/>
              </w:rPr>
            </w:pPr>
            <w:r w:rsidRPr="00C80C6F">
              <w:rPr>
                <w:rFonts w:ascii="Work Sans" w:hAnsi="Work Sans"/>
              </w:rPr>
              <w:t>HDL cholesterol</w:t>
            </w:r>
          </w:p>
        </w:tc>
        <w:tc>
          <w:tcPr>
            <w:tcW w:w="6889" w:type="dxa"/>
          </w:tcPr>
          <w:p w14:paraId="72E26EE3" w14:textId="77777777" w:rsidR="00801272" w:rsidRPr="00C80C6F" w:rsidRDefault="009B7718">
            <w:pPr>
              <w:rPr>
                <w:rFonts w:ascii="Work Sans" w:hAnsi="Work Sans"/>
              </w:rPr>
            </w:pPr>
            <w:r w:rsidRPr="00C80C6F">
              <w:rPr>
                <w:rFonts w:ascii="Work Sans" w:hAnsi="Work Sans"/>
              </w:rPr>
              <w:t>Often called 'good' cholesterol because HDL participates in reverse cholesterol transport. HDL is interpreted as part of the overall risk profile rather than as a stand-alone protective target.</w:t>
            </w:r>
          </w:p>
        </w:tc>
      </w:tr>
      <w:tr w:rsidR="00801272" w:rsidRPr="00C80C6F" w14:paraId="24A3BCFD" w14:textId="77777777" w:rsidTr="00A9687A">
        <w:trPr>
          <w:jc w:val="center"/>
        </w:trPr>
        <w:tc>
          <w:tcPr>
            <w:tcW w:w="3325" w:type="dxa"/>
          </w:tcPr>
          <w:p w14:paraId="64BA9BEC" w14:textId="77777777" w:rsidR="00801272" w:rsidRPr="00C80C6F" w:rsidRDefault="009B7718">
            <w:pPr>
              <w:rPr>
                <w:rFonts w:ascii="Work Sans" w:hAnsi="Work Sans"/>
              </w:rPr>
            </w:pPr>
            <w:r w:rsidRPr="00C80C6F">
              <w:rPr>
                <w:rFonts w:ascii="Work Sans" w:hAnsi="Work Sans"/>
              </w:rPr>
              <w:t>Non-HDL cholesterol</w:t>
            </w:r>
          </w:p>
        </w:tc>
        <w:tc>
          <w:tcPr>
            <w:tcW w:w="6889" w:type="dxa"/>
          </w:tcPr>
          <w:p w14:paraId="65FC8C6A" w14:textId="77777777" w:rsidR="00801272" w:rsidRPr="00C80C6F" w:rsidRDefault="009B7718">
            <w:pPr>
              <w:rPr>
                <w:rFonts w:ascii="Work Sans" w:hAnsi="Work Sans"/>
              </w:rPr>
            </w:pPr>
            <w:r w:rsidRPr="00C80C6F">
              <w:rPr>
                <w:rFonts w:ascii="Work Sans" w:hAnsi="Work Sans"/>
              </w:rPr>
              <w:t>Total cholesterol minus HDL cholesterol; represents cholesterol carried by all non-HDL lipoproteins.</w:t>
            </w:r>
          </w:p>
        </w:tc>
      </w:tr>
      <w:tr w:rsidR="00801272" w:rsidRPr="00C80C6F" w14:paraId="6684F07D" w14:textId="77777777" w:rsidTr="00A9687A">
        <w:trPr>
          <w:jc w:val="center"/>
        </w:trPr>
        <w:tc>
          <w:tcPr>
            <w:tcW w:w="3325" w:type="dxa"/>
          </w:tcPr>
          <w:p w14:paraId="389600C4" w14:textId="77777777" w:rsidR="00801272" w:rsidRPr="00C80C6F" w:rsidRDefault="009B7718">
            <w:pPr>
              <w:rPr>
                <w:rFonts w:ascii="Work Sans" w:hAnsi="Work Sans"/>
              </w:rPr>
            </w:pPr>
            <w:r w:rsidRPr="00C80C6F">
              <w:rPr>
                <w:rFonts w:ascii="Work Sans" w:hAnsi="Work Sans"/>
              </w:rPr>
              <w:t>Triglycerides</w:t>
            </w:r>
          </w:p>
        </w:tc>
        <w:tc>
          <w:tcPr>
            <w:tcW w:w="6889" w:type="dxa"/>
          </w:tcPr>
          <w:p w14:paraId="6DA82449" w14:textId="77777777" w:rsidR="00801272" w:rsidRPr="00C80C6F" w:rsidRDefault="009B7718">
            <w:pPr>
              <w:rPr>
                <w:rFonts w:ascii="Work Sans" w:hAnsi="Work Sans"/>
              </w:rPr>
            </w:pPr>
            <w:r w:rsidRPr="00C80C6F">
              <w:rPr>
                <w:rFonts w:ascii="Work Sans" w:hAnsi="Work Sans"/>
              </w:rPr>
              <w:t>A major form of circulating fat. High levels can contribute to cardiovascular risk and, when markedly elevated, increase pancreatitis risk.</w:t>
            </w:r>
          </w:p>
        </w:tc>
      </w:tr>
      <w:tr w:rsidR="00801272" w:rsidRPr="00C80C6F" w14:paraId="46BBAE5B" w14:textId="77777777" w:rsidTr="00A9687A">
        <w:trPr>
          <w:jc w:val="center"/>
        </w:trPr>
        <w:tc>
          <w:tcPr>
            <w:tcW w:w="3325" w:type="dxa"/>
          </w:tcPr>
          <w:p w14:paraId="150AE1E0" w14:textId="77777777" w:rsidR="00801272" w:rsidRPr="00C80C6F" w:rsidRDefault="009B7718">
            <w:pPr>
              <w:rPr>
                <w:rFonts w:ascii="Work Sans" w:hAnsi="Work Sans"/>
              </w:rPr>
            </w:pPr>
            <w:r w:rsidRPr="00C80C6F">
              <w:rPr>
                <w:rFonts w:ascii="Work Sans" w:hAnsi="Work Sans"/>
              </w:rPr>
              <w:t>Total cholesterol / HDL ratio</w:t>
            </w:r>
          </w:p>
        </w:tc>
        <w:tc>
          <w:tcPr>
            <w:tcW w:w="6889" w:type="dxa"/>
          </w:tcPr>
          <w:p w14:paraId="5D880885" w14:textId="77777777" w:rsidR="00801272" w:rsidRPr="00C80C6F" w:rsidRDefault="009B7718">
            <w:pPr>
              <w:rPr>
                <w:rFonts w:ascii="Work Sans" w:hAnsi="Work Sans"/>
              </w:rPr>
            </w:pPr>
            <w:r w:rsidRPr="00C80C6F">
              <w:rPr>
                <w:rFonts w:ascii="Work Sans" w:hAnsi="Work Sans"/>
              </w:rPr>
              <w:t>A calculated measure sometimes used as part of cardiovascular risk assessment.</w:t>
            </w:r>
          </w:p>
        </w:tc>
      </w:tr>
    </w:tbl>
    <w:p w14:paraId="291CC34F" w14:textId="77777777" w:rsidR="00801272" w:rsidRPr="00C80C6F" w:rsidRDefault="009B7718">
      <w:pPr>
        <w:rPr>
          <w:rFonts w:ascii="Work Sans" w:hAnsi="Work Sans"/>
        </w:rPr>
      </w:pPr>
      <w:r w:rsidRPr="00C80C6F">
        <w:rPr>
          <w:rFonts w:ascii="Work Sans" w:hAnsi="Work Sans"/>
          <w:b/>
        </w:rPr>
        <w:t xml:space="preserve">Important: </w:t>
      </w:r>
      <w:r w:rsidRPr="00C80C6F">
        <w:rPr>
          <w:rFonts w:ascii="Work Sans" w:hAnsi="Work Sans"/>
        </w:rPr>
        <w:t>A lipid profile may be performed fasting or non-fasting depending on the clinical question and laboratory protocol. Treatment targets are individualized.</w:t>
      </w:r>
    </w:p>
    <w:p w14:paraId="4F7D76E7" w14:textId="77777777" w:rsidR="00801272" w:rsidRPr="00C80C6F" w:rsidRDefault="009B7718">
      <w:pPr>
        <w:rPr>
          <w:rFonts w:ascii="Work Sans" w:hAnsi="Work Sans"/>
        </w:rPr>
      </w:pPr>
      <w:r w:rsidRPr="00C80C6F">
        <w:rPr>
          <w:rFonts w:ascii="Work Sans" w:hAnsi="Work Sans"/>
        </w:rPr>
        <w:br w:type="page"/>
      </w:r>
    </w:p>
    <w:p w14:paraId="1B476784" w14:textId="0AEADBF1"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HbA1c (Glycated Haemoglobin)</w:t>
      </w:r>
    </w:p>
    <w:p w14:paraId="1D5B0680"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44C266A6" wp14:editId="70E8C645">
            <wp:extent cx="5669280" cy="37814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a1c.png"/>
                    <pic:cNvPicPr/>
                  </pic:nvPicPr>
                  <pic:blipFill>
                    <a:blip r:embed="rId13"/>
                    <a:stretch>
                      <a:fillRect/>
                    </a:stretch>
                  </pic:blipFill>
                  <pic:spPr>
                    <a:xfrm>
                      <a:off x="0" y="0"/>
                      <a:ext cx="5669280" cy="3781410"/>
                    </a:xfrm>
                    <a:prstGeom prst="rect">
                      <a:avLst/>
                    </a:prstGeom>
                  </pic:spPr>
                </pic:pic>
              </a:graphicData>
            </a:graphic>
          </wp:inline>
        </w:drawing>
      </w:r>
    </w:p>
    <w:p w14:paraId="48152448" w14:textId="77777777" w:rsidR="00801272" w:rsidRPr="00C80C6F" w:rsidRDefault="009B7718">
      <w:pPr>
        <w:rPr>
          <w:rFonts w:ascii="Work Sans" w:hAnsi="Work Sans"/>
        </w:rPr>
      </w:pPr>
      <w:r w:rsidRPr="00C80C6F">
        <w:rPr>
          <w:rFonts w:ascii="Work Sans" w:hAnsi="Work Sans"/>
          <w:b/>
        </w:rPr>
        <w:t>HbA1c measures the proportion of haemoglobin that has glucose attached to it. It reflects average blood-glucose exposure over approximately the previous 2–3 months and is widely used to assess glycaemic control and, in appropriate people, to diagnose diabetes.</w:t>
      </w:r>
    </w:p>
    <w:tbl>
      <w:tblPr>
        <w:tblStyle w:val="TableGrid"/>
        <w:tblW w:w="0" w:type="auto"/>
        <w:jc w:val="center"/>
        <w:tblLook w:val="04A0" w:firstRow="1" w:lastRow="0" w:firstColumn="1" w:lastColumn="0" w:noHBand="0" w:noVBand="1"/>
      </w:tblPr>
      <w:tblGrid>
        <w:gridCol w:w="4495"/>
        <w:gridCol w:w="5719"/>
      </w:tblGrid>
      <w:tr w:rsidR="00801272" w:rsidRPr="00C80C6F" w14:paraId="13E8C270" w14:textId="77777777" w:rsidTr="00A9687A">
        <w:trPr>
          <w:jc w:val="center"/>
        </w:trPr>
        <w:tc>
          <w:tcPr>
            <w:tcW w:w="4495" w:type="dxa"/>
          </w:tcPr>
          <w:p w14:paraId="6E1DB871" w14:textId="77777777" w:rsidR="00801272" w:rsidRPr="00C80C6F" w:rsidRDefault="009B7718">
            <w:pPr>
              <w:rPr>
                <w:rFonts w:ascii="Work Sans" w:hAnsi="Work Sans"/>
              </w:rPr>
            </w:pPr>
            <w:r w:rsidRPr="00C80C6F">
              <w:rPr>
                <w:rFonts w:ascii="Work Sans" w:hAnsi="Work Sans"/>
                <w:b/>
              </w:rPr>
              <w:t>HbA1c (non-pregnant adults)</w:t>
            </w:r>
          </w:p>
        </w:tc>
        <w:tc>
          <w:tcPr>
            <w:tcW w:w="5719" w:type="dxa"/>
          </w:tcPr>
          <w:p w14:paraId="0539C289" w14:textId="77777777" w:rsidR="00801272" w:rsidRPr="00C80C6F" w:rsidRDefault="009B7718">
            <w:pPr>
              <w:rPr>
                <w:rFonts w:ascii="Work Sans" w:hAnsi="Work Sans"/>
              </w:rPr>
            </w:pPr>
            <w:r w:rsidRPr="00C80C6F">
              <w:rPr>
                <w:rFonts w:ascii="Work Sans" w:hAnsi="Work Sans"/>
                <w:b/>
              </w:rPr>
              <w:t>General interpretation</w:t>
            </w:r>
          </w:p>
        </w:tc>
      </w:tr>
      <w:tr w:rsidR="00801272" w:rsidRPr="00C80C6F" w14:paraId="22B62185" w14:textId="77777777" w:rsidTr="00A9687A">
        <w:trPr>
          <w:jc w:val="center"/>
        </w:trPr>
        <w:tc>
          <w:tcPr>
            <w:tcW w:w="4495" w:type="dxa"/>
          </w:tcPr>
          <w:p w14:paraId="6377ECCC" w14:textId="77777777" w:rsidR="00801272" w:rsidRPr="00C80C6F" w:rsidRDefault="009B7718">
            <w:pPr>
              <w:rPr>
                <w:rFonts w:ascii="Work Sans" w:hAnsi="Work Sans"/>
              </w:rPr>
            </w:pPr>
            <w:r w:rsidRPr="00C80C6F">
              <w:rPr>
                <w:rFonts w:ascii="Work Sans" w:hAnsi="Work Sans"/>
              </w:rPr>
              <w:t>Below 5.7% (below 39 mmol/mol)</w:t>
            </w:r>
          </w:p>
        </w:tc>
        <w:tc>
          <w:tcPr>
            <w:tcW w:w="5719" w:type="dxa"/>
          </w:tcPr>
          <w:p w14:paraId="0AC42B19" w14:textId="77777777" w:rsidR="00801272" w:rsidRPr="00C80C6F" w:rsidRDefault="009B7718">
            <w:pPr>
              <w:rPr>
                <w:rFonts w:ascii="Work Sans" w:hAnsi="Work Sans"/>
              </w:rPr>
            </w:pPr>
            <w:r w:rsidRPr="00C80C6F">
              <w:rPr>
                <w:rFonts w:ascii="Work Sans" w:hAnsi="Work Sans"/>
              </w:rPr>
              <w:t>Usually considered in the normal range</w:t>
            </w:r>
          </w:p>
        </w:tc>
      </w:tr>
      <w:tr w:rsidR="00801272" w:rsidRPr="00C80C6F" w14:paraId="2CCF0695" w14:textId="77777777" w:rsidTr="00A9687A">
        <w:trPr>
          <w:jc w:val="center"/>
        </w:trPr>
        <w:tc>
          <w:tcPr>
            <w:tcW w:w="4495" w:type="dxa"/>
          </w:tcPr>
          <w:p w14:paraId="4030B113" w14:textId="77777777" w:rsidR="00801272" w:rsidRPr="00C80C6F" w:rsidRDefault="009B7718">
            <w:pPr>
              <w:rPr>
                <w:rFonts w:ascii="Work Sans" w:hAnsi="Work Sans"/>
              </w:rPr>
            </w:pPr>
            <w:r w:rsidRPr="00C80C6F">
              <w:rPr>
                <w:rFonts w:ascii="Work Sans" w:hAnsi="Work Sans"/>
              </w:rPr>
              <w:t>5.7–6.4% (39–47 mmol/mol)</w:t>
            </w:r>
          </w:p>
        </w:tc>
        <w:tc>
          <w:tcPr>
            <w:tcW w:w="5719" w:type="dxa"/>
          </w:tcPr>
          <w:p w14:paraId="270603DD" w14:textId="77777777" w:rsidR="00801272" w:rsidRPr="00C80C6F" w:rsidRDefault="009B7718">
            <w:pPr>
              <w:rPr>
                <w:rFonts w:ascii="Work Sans" w:hAnsi="Work Sans"/>
              </w:rPr>
            </w:pPr>
            <w:r w:rsidRPr="00C80C6F">
              <w:rPr>
                <w:rFonts w:ascii="Work Sans" w:hAnsi="Work Sans"/>
              </w:rPr>
              <w:t>Prediabetes / increased risk of diabetes</w:t>
            </w:r>
          </w:p>
        </w:tc>
      </w:tr>
      <w:tr w:rsidR="00801272" w:rsidRPr="00C80C6F" w14:paraId="796DD01B" w14:textId="77777777" w:rsidTr="00A9687A">
        <w:trPr>
          <w:jc w:val="center"/>
        </w:trPr>
        <w:tc>
          <w:tcPr>
            <w:tcW w:w="4495" w:type="dxa"/>
          </w:tcPr>
          <w:p w14:paraId="1D3C5F0B" w14:textId="77777777" w:rsidR="00801272" w:rsidRPr="00C80C6F" w:rsidRDefault="009B7718">
            <w:pPr>
              <w:rPr>
                <w:rFonts w:ascii="Work Sans" w:hAnsi="Work Sans"/>
              </w:rPr>
            </w:pPr>
            <w:r w:rsidRPr="00C80C6F">
              <w:rPr>
                <w:rFonts w:ascii="Work Sans" w:hAnsi="Work Sans"/>
              </w:rPr>
              <w:t>≥6.5% (≥48 mmol/mol)</w:t>
            </w:r>
          </w:p>
        </w:tc>
        <w:tc>
          <w:tcPr>
            <w:tcW w:w="5719" w:type="dxa"/>
          </w:tcPr>
          <w:p w14:paraId="3016E577" w14:textId="77777777" w:rsidR="00801272" w:rsidRPr="00C80C6F" w:rsidRDefault="009B7718">
            <w:pPr>
              <w:rPr>
                <w:rFonts w:ascii="Work Sans" w:hAnsi="Work Sans"/>
              </w:rPr>
            </w:pPr>
            <w:r w:rsidRPr="00C80C6F">
              <w:rPr>
                <w:rFonts w:ascii="Work Sans" w:hAnsi="Work Sans"/>
              </w:rPr>
              <w:t>Meets the laboratory diagnostic threshold for diabetes; confirmation is generally required when there is no unequivocal hyperglycaemia</w:t>
            </w:r>
          </w:p>
        </w:tc>
      </w:tr>
    </w:tbl>
    <w:p w14:paraId="04D59FC3" w14:textId="77777777" w:rsidR="00801272" w:rsidRPr="00C80C6F" w:rsidRDefault="009B7718" w:rsidP="00C576BD">
      <w:pPr>
        <w:jc w:val="both"/>
        <w:rPr>
          <w:rFonts w:ascii="Work Sans" w:hAnsi="Work Sans"/>
        </w:rPr>
      </w:pPr>
      <w:r w:rsidRPr="00C80C6F">
        <w:rPr>
          <w:rFonts w:ascii="Work Sans" w:hAnsi="Work Sans"/>
          <w:b/>
        </w:rPr>
        <w:t xml:space="preserve">Important: </w:t>
      </w:r>
      <w:r w:rsidRPr="00C80C6F">
        <w:rPr>
          <w:rFonts w:ascii="Work Sans" w:hAnsi="Work Sans"/>
        </w:rPr>
        <w:t>HbA1c can be affected by conditions that change red-cell lifespan or haemoglobin structure, including some anaemias and haemoglobin variants. Diagnostic thresholds and interpretation should follow current clinical guidance and the laboratory's validated method.</w:t>
      </w:r>
    </w:p>
    <w:p w14:paraId="125EAA60" w14:textId="77777777" w:rsidR="00801272" w:rsidRPr="00C80C6F" w:rsidRDefault="009B7718">
      <w:pPr>
        <w:rPr>
          <w:rFonts w:ascii="Work Sans" w:hAnsi="Work Sans"/>
        </w:rPr>
      </w:pPr>
      <w:r w:rsidRPr="00C80C6F">
        <w:rPr>
          <w:rFonts w:ascii="Work Sans" w:hAnsi="Work Sans"/>
        </w:rPr>
        <w:br w:type="page"/>
      </w:r>
    </w:p>
    <w:p w14:paraId="54BAD0A2" w14:textId="75225C24"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TORCH / Congenital Infection Testing</w:t>
      </w:r>
    </w:p>
    <w:p w14:paraId="1DE2B3B1"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2D0B2859" wp14:editId="2017ABBC">
            <wp:extent cx="5669280" cy="36566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ch_panel.png"/>
                    <pic:cNvPicPr/>
                  </pic:nvPicPr>
                  <pic:blipFill>
                    <a:blip r:embed="rId14"/>
                    <a:stretch>
                      <a:fillRect/>
                    </a:stretch>
                  </pic:blipFill>
                  <pic:spPr>
                    <a:xfrm>
                      <a:off x="0" y="0"/>
                      <a:ext cx="5669280" cy="3656686"/>
                    </a:xfrm>
                    <a:prstGeom prst="rect">
                      <a:avLst/>
                    </a:prstGeom>
                  </pic:spPr>
                </pic:pic>
              </a:graphicData>
            </a:graphic>
          </wp:inline>
        </w:drawing>
      </w:r>
    </w:p>
    <w:p w14:paraId="1D1442CD" w14:textId="77777777" w:rsidR="00801272" w:rsidRPr="00C80C6F" w:rsidRDefault="009B7718">
      <w:pPr>
        <w:rPr>
          <w:rFonts w:ascii="Work Sans" w:hAnsi="Work Sans"/>
        </w:rPr>
      </w:pPr>
      <w:r w:rsidRPr="00C80C6F">
        <w:rPr>
          <w:rFonts w:ascii="Work Sans" w:hAnsi="Work Sans"/>
          <w:b/>
        </w:rPr>
        <w:t>TORCH is a traditional term used for infections that can cause congenital or neonatal disease. The acronym is commonly expanded as Toxoplasma, Other infections, Rubella, Cytomegalovirus (CMV) and Herpes simplex virus (HSV). The exact tests included vary by laboratory and clinical indication.</w:t>
      </w:r>
    </w:p>
    <w:p w14:paraId="2D538079" w14:textId="77777777" w:rsidR="00801272" w:rsidRPr="00C80C6F" w:rsidRDefault="009B7718" w:rsidP="00A9687A">
      <w:pPr>
        <w:pStyle w:val="Heading2"/>
        <w:jc w:val="both"/>
        <w:rPr>
          <w:rFonts w:ascii="Work Sans" w:hAnsi="Work Sans"/>
        </w:rPr>
      </w:pPr>
      <w:r w:rsidRPr="00C80C6F">
        <w:rPr>
          <w:rFonts w:ascii="Work Sans" w:hAnsi="Work Sans"/>
        </w:rPr>
        <w:t>Toxoplasmosis</w:t>
      </w:r>
    </w:p>
    <w:p w14:paraId="77747F2A" w14:textId="77777777" w:rsidR="00801272" w:rsidRPr="00C80C6F" w:rsidRDefault="009B7718" w:rsidP="00A9687A">
      <w:pPr>
        <w:jc w:val="both"/>
        <w:rPr>
          <w:rFonts w:ascii="Work Sans" w:hAnsi="Work Sans"/>
        </w:rPr>
      </w:pPr>
      <w:r w:rsidRPr="00C80C6F">
        <w:rPr>
          <w:rFonts w:ascii="Work Sans" w:hAnsi="Work Sans"/>
        </w:rPr>
        <w:t>Toxoplasma gondii infection can be acquired through contaminated food or soil and can cross the placenta during pregnancy. Congenital infection can affect the eyes and central nervous system.</w:t>
      </w:r>
    </w:p>
    <w:p w14:paraId="4B3F6CF6" w14:textId="77777777" w:rsidR="00801272" w:rsidRPr="00C80C6F" w:rsidRDefault="009B7718" w:rsidP="00A9687A">
      <w:pPr>
        <w:pStyle w:val="Heading2"/>
        <w:jc w:val="both"/>
        <w:rPr>
          <w:rFonts w:ascii="Work Sans" w:hAnsi="Work Sans"/>
        </w:rPr>
      </w:pPr>
      <w:r w:rsidRPr="00C80C6F">
        <w:rPr>
          <w:rFonts w:ascii="Work Sans" w:hAnsi="Work Sans"/>
        </w:rPr>
        <w:t>Rubella</w:t>
      </w:r>
    </w:p>
    <w:p w14:paraId="5B43F933" w14:textId="77777777" w:rsidR="00801272" w:rsidRPr="00C80C6F" w:rsidRDefault="009B7718" w:rsidP="00A9687A">
      <w:pPr>
        <w:jc w:val="both"/>
        <w:rPr>
          <w:rFonts w:ascii="Work Sans" w:hAnsi="Work Sans"/>
        </w:rPr>
      </w:pPr>
      <w:r w:rsidRPr="00C80C6F">
        <w:rPr>
          <w:rFonts w:ascii="Work Sans" w:hAnsi="Work Sans"/>
        </w:rPr>
        <w:t>Rubella infection during pregnancy can cause congenital rubella syndrome, with risks including hearing, eye and heart abnormalities and other developmental problems. Vaccination is the main prevention strategy.</w:t>
      </w:r>
    </w:p>
    <w:p w14:paraId="59BBFF94" w14:textId="77777777" w:rsidR="00801272" w:rsidRPr="00C80C6F" w:rsidRDefault="009B7718" w:rsidP="00A9687A">
      <w:pPr>
        <w:pStyle w:val="Heading2"/>
        <w:jc w:val="both"/>
        <w:rPr>
          <w:rFonts w:ascii="Work Sans" w:hAnsi="Work Sans"/>
        </w:rPr>
      </w:pPr>
      <w:r w:rsidRPr="00C80C6F">
        <w:rPr>
          <w:rFonts w:ascii="Work Sans" w:hAnsi="Work Sans"/>
        </w:rPr>
        <w:t>Cytomegalovirus (CMV)</w:t>
      </w:r>
    </w:p>
    <w:p w14:paraId="1C48B9BE" w14:textId="77777777" w:rsidR="00801272" w:rsidRPr="00C80C6F" w:rsidRDefault="009B7718" w:rsidP="00A9687A">
      <w:pPr>
        <w:jc w:val="both"/>
        <w:rPr>
          <w:rFonts w:ascii="Work Sans" w:hAnsi="Work Sans"/>
        </w:rPr>
      </w:pPr>
      <w:r w:rsidRPr="00C80C6F">
        <w:rPr>
          <w:rFonts w:ascii="Work Sans" w:hAnsi="Work Sans"/>
        </w:rPr>
        <w:t>CMV is common and often mild in healthy adults, but primary or recurrent infection during pregnancy can lead to congenital infection. Some affected infants develop hearing, neurological or developmental problems.</w:t>
      </w:r>
    </w:p>
    <w:p w14:paraId="2D0A73DC" w14:textId="77777777" w:rsidR="00801272" w:rsidRPr="00C80C6F" w:rsidRDefault="009B7718" w:rsidP="00A9687A">
      <w:pPr>
        <w:pStyle w:val="Heading2"/>
        <w:jc w:val="both"/>
        <w:rPr>
          <w:rFonts w:ascii="Work Sans" w:hAnsi="Work Sans"/>
        </w:rPr>
      </w:pPr>
      <w:r w:rsidRPr="00C80C6F">
        <w:rPr>
          <w:rFonts w:ascii="Work Sans" w:hAnsi="Work Sans"/>
        </w:rPr>
        <w:t>Herpes simplex virus (HSV)</w:t>
      </w:r>
    </w:p>
    <w:p w14:paraId="050B7D7E" w14:textId="77777777" w:rsidR="00801272" w:rsidRPr="00C80C6F" w:rsidRDefault="009B7718" w:rsidP="00A9687A">
      <w:pPr>
        <w:jc w:val="both"/>
        <w:rPr>
          <w:rFonts w:ascii="Work Sans" w:hAnsi="Work Sans"/>
        </w:rPr>
      </w:pPr>
      <w:r w:rsidRPr="00C80C6F">
        <w:rPr>
          <w:rFonts w:ascii="Work Sans" w:hAnsi="Work Sans"/>
        </w:rPr>
        <w:t>Neonatal HSV can be acquired around delivery, particularly when genital infection is active. Newborn infection can be severe and requires prompt specialist management.</w:t>
      </w:r>
    </w:p>
    <w:p w14:paraId="24D9F197" w14:textId="77777777" w:rsidR="00801272" w:rsidRPr="00C80C6F" w:rsidRDefault="009B7718" w:rsidP="00A9687A">
      <w:pPr>
        <w:pStyle w:val="Heading2"/>
        <w:jc w:val="both"/>
        <w:rPr>
          <w:rFonts w:ascii="Work Sans" w:hAnsi="Work Sans"/>
        </w:rPr>
      </w:pPr>
      <w:r w:rsidRPr="00C80C6F">
        <w:rPr>
          <w:rFonts w:ascii="Work Sans" w:hAnsi="Work Sans"/>
        </w:rPr>
        <w:t>Other infections</w:t>
      </w:r>
    </w:p>
    <w:p w14:paraId="5815E4C7" w14:textId="77777777" w:rsidR="00801272" w:rsidRPr="00C80C6F" w:rsidRDefault="009B7718" w:rsidP="00A9687A">
      <w:pPr>
        <w:jc w:val="both"/>
        <w:rPr>
          <w:rFonts w:ascii="Work Sans" w:hAnsi="Work Sans"/>
        </w:rPr>
      </w:pPr>
      <w:r w:rsidRPr="00C80C6F">
        <w:rPr>
          <w:rFonts w:ascii="Work Sans" w:hAnsi="Work Sans"/>
        </w:rPr>
        <w:t>The 'O' may include infections such as syphilis, varicella-zoster virus or parvovirus B19 depending on local practice and clinical need.</w:t>
      </w:r>
    </w:p>
    <w:p w14:paraId="5AF6859A" w14:textId="77777777" w:rsidR="00801272" w:rsidRPr="00C80C6F" w:rsidRDefault="009B7718" w:rsidP="00A9687A">
      <w:pPr>
        <w:jc w:val="both"/>
        <w:rPr>
          <w:rFonts w:ascii="Work Sans" w:hAnsi="Work Sans"/>
        </w:rPr>
      </w:pPr>
      <w:r w:rsidRPr="00C80C6F">
        <w:rPr>
          <w:rFonts w:ascii="Work Sans" w:hAnsi="Work Sans"/>
          <w:b/>
        </w:rPr>
        <w:lastRenderedPageBreak/>
        <w:t xml:space="preserve">Important: </w:t>
      </w:r>
      <w:r w:rsidRPr="00C80C6F">
        <w:rPr>
          <w:rFonts w:ascii="Work Sans" w:hAnsi="Work Sans"/>
        </w:rPr>
        <w:t>Serology can indicate previous exposure or immune response and does not always prove an active infection. Interpretation in pregnancy often requires confirmatory or molecular testing and specialist clinical assessment.</w:t>
      </w:r>
    </w:p>
    <w:p w14:paraId="3E704095" w14:textId="77777777" w:rsidR="00801272" w:rsidRPr="00C80C6F" w:rsidRDefault="009B7718" w:rsidP="00A9687A">
      <w:pPr>
        <w:jc w:val="both"/>
        <w:rPr>
          <w:rFonts w:ascii="Work Sans" w:hAnsi="Work Sans"/>
        </w:rPr>
      </w:pPr>
      <w:r w:rsidRPr="00C80C6F">
        <w:rPr>
          <w:rFonts w:ascii="Work Sans" w:hAnsi="Work Sans"/>
        </w:rPr>
        <w:br w:type="page"/>
      </w:r>
    </w:p>
    <w:p w14:paraId="736A7396" w14:textId="2E89BEB9"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HIV Viral Load</w:t>
      </w:r>
    </w:p>
    <w:p w14:paraId="55E12B11"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47241720" wp14:editId="4E97F992">
            <wp:extent cx="5669280" cy="36396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v_viral_load.png"/>
                    <pic:cNvPicPr/>
                  </pic:nvPicPr>
                  <pic:blipFill>
                    <a:blip r:embed="rId15"/>
                    <a:stretch>
                      <a:fillRect/>
                    </a:stretch>
                  </pic:blipFill>
                  <pic:spPr>
                    <a:xfrm>
                      <a:off x="0" y="0"/>
                      <a:ext cx="5669280" cy="3639677"/>
                    </a:xfrm>
                    <a:prstGeom prst="rect">
                      <a:avLst/>
                    </a:prstGeom>
                  </pic:spPr>
                </pic:pic>
              </a:graphicData>
            </a:graphic>
          </wp:inline>
        </w:drawing>
      </w:r>
    </w:p>
    <w:p w14:paraId="3A3E0278" w14:textId="77777777" w:rsidR="00801272" w:rsidRPr="00C80C6F" w:rsidRDefault="009B7718">
      <w:pPr>
        <w:rPr>
          <w:rFonts w:ascii="Work Sans" w:hAnsi="Work Sans"/>
        </w:rPr>
      </w:pPr>
      <w:r w:rsidRPr="00C80C6F">
        <w:rPr>
          <w:rFonts w:ascii="Work Sans" w:hAnsi="Work Sans"/>
          <w:b/>
        </w:rPr>
        <w:t>HIV viral-load testing measures the amount of HIV genetic material in a blood sample. It is primarily used after HIV has been diagnosed to assess how actively the virus is replicating and to monitor response to antiretroviral therapy.</w:t>
      </w:r>
    </w:p>
    <w:p w14:paraId="77F18085" w14:textId="77777777" w:rsidR="00801272" w:rsidRPr="00C80C6F" w:rsidRDefault="009B7718">
      <w:pPr>
        <w:pStyle w:val="Heading2"/>
        <w:rPr>
          <w:rFonts w:ascii="Work Sans" w:hAnsi="Work Sans"/>
        </w:rPr>
      </w:pPr>
      <w:r w:rsidRPr="00C80C6F">
        <w:rPr>
          <w:rFonts w:ascii="Work Sans" w:hAnsi="Work Sans"/>
        </w:rPr>
        <w:t>Why it matters</w:t>
      </w:r>
    </w:p>
    <w:p w14:paraId="06DC60BC" w14:textId="77777777" w:rsidR="00801272" w:rsidRPr="00C80C6F" w:rsidRDefault="009B7718">
      <w:pPr>
        <w:rPr>
          <w:rFonts w:ascii="Work Sans" w:hAnsi="Work Sans"/>
        </w:rPr>
      </w:pPr>
      <w:r w:rsidRPr="00C80C6F">
        <w:rPr>
          <w:rFonts w:ascii="Work Sans" w:hAnsi="Work Sans"/>
        </w:rPr>
        <w:t>A falling viral load after treatment generally indicates that therapy is suppressing HIV replication. Persistent or rising viral load may prompt assessment of adherence, drug interactions, resistance or other clinical factors.</w:t>
      </w:r>
    </w:p>
    <w:p w14:paraId="4F77CDDC" w14:textId="77777777" w:rsidR="00801272" w:rsidRPr="00C80C6F" w:rsidRDefault="009B7718">
      <w:pPr>
        <w:pStyle w:val="Heading2"/>
        <w:rPr>
          <w:rFonts w:ascii="Work Sans" w:hAnsi="Work Sans"/>
        </w:rPr>
      </w:pPr>
      <w:r w:rsidRPr="00C80C6F">
        <w:rPr>
          <w:rFonts w:ascii="Work Sans" w:hAnsi="Work Sans"/>
        </w:rPr>
        <w:t>How it is used</w:t>
      </w:r>
    </w:p>
    <w:p w14:paraId="4221484A" w14:textId="77777777" w:rsidR="00801272" w:rsidRPr="00C80C6F" w:rsidRDefault="009B7718">
      <w:pPr>
        <w:rPr>
          <w:rFonts w:ascii="Work Sans" w:hAnsi="Work Sans"/>
        </w:rPr>
      </w:pPr>
      <w:r w:rsidRPr="00C80C6F">
        <w:rPr>
          <w:rFonts w:ascii="Work Sans" w:hAnsi="Work Sans"/>
        </w:rPr>
        <w:t>Testing is repeated at intervals recommended by the treating clinical team. It is commonly considered alongside CD4 cell count and the overall clinical picture.</w:t>
      </w:r>
    </w:p>
    <w:p w14:paraId="11DF10C8" w14:textId="77777777" w:rsidR="00801272" w:rsidRPr="00C80C6F" w:rsidRDefault="009B7718">
      <w:pPr>
        <w:rPr>
          <w:rFonts w:ascii="Work Sans" w:hAnsi="Work Sans"/>
        </w:rPr>
      </w:pPr>
      <w:r w:rsidRPr="00C80C6F">
        <w:rPr>
          <w:rFonts w:ascii="Work Sans" w:hAnsi="Work Sans"/>
          <w:b/>
        </w:rPr>
        <w:t xml:space="preserve">Important: </w:t>
      </w:r>
      <w:r w:rsidRPr="00C80C6F">
        <w:rPr>
          <w:rFonts w:ascii="Work Sans" w:hAnsi="Work Sans"/>
        </w:rPr>
        <w:t>Viral-load results are assay-specific and are usually reported as copies of HIV RNA per millilitre of blood, sometimes with a statement that the result is below the assay's limit of detection or quantification.</w:t>
      </w:r>
    </w:p>
    <w:p w14:paraId="35939097" w14:textId="77777777" w:rsidR="00801272" w:rsidRPr="00C80C6F" w:rsidRDefault="009B7718">
      <w:pPr>
        <w:rPr>
          <w:rFonts w:ascii="Work Sans" w:hAnsi="Work Sans"/>
        </w:rPr>
      </w:pPr>
      <w:r w:rsidRPr="00C80C6F">
        <w:rPr>
          <w:rFonts w:ascii="Work Sans" w:hAnsi="Work Sans"/>
        </w:rPr>
        <w:br w:type="page"/>
      </w:r>
    </w:p>
    <w:p w14:paraId="791EB2B7" w14:textId="4D4404D4"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Cardiac Biomarkers</w:t>
      </w:r>
    </w:p>
    <w:p w14:paraId="29BB09B9"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374E32CD" wp14:editId="4DFFB75E">
            <wp:extent cx="5669280" cy="37795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iac_markers.jpg"/>
                    <pic:cNvPicPr/>
                  </pic:nvPicPr>
                  <pic:blipFill>
                    <a:blip r:embed="rId16"/>
                    <a:stretch>
                      <a:fillRect/>
                    </a:stretch>
                  </pic:blipFill>
                  <pic:spPr>
                    <a:xfrm>
                      <a:off x="0" y="0"/>
                      <a:ext cx="5669280" cy="3779520"/>
                    </a:xfrm>
                    <a:prstGeom prst="rect">
                      <a:avLst/>
                    </a:prstGeom>
                  </pic:spPr>
                </pic:pic>
              </a:graphicData>
            </a:graphic>
          </wp:inline>
        </w:drawing>
      </w:r>
    </w:p>
    <w:p w14:paraId="0770BFC6" w14:textId="77777777" w:rsidR="00801272" w:rsidRPr="00C80C6F" w:rsidRDefault="009B7718">
      <w:pPr>
        <w:rPr>
          <w:rFonts w:ascii="Work Sans" w:hAnsi="Work Sans"/>
        </w:rPr>
      </w:pPr>
      <w:r w:rsidRPr="00C80C6F">
        <w:rPr>
          <w:rFonts w:ascii="Work Sans" w:hAnsi="Work Sans"/>
          <w:b/>
        </w:rPr>
        <w:t>Cardiac biomarkers are substances measured in blood to help evaluate heart-muscle injury or cardiac stress. They are interpreted alongside symptoms, examination, ECG findings and other investigations.</w:t>
      </w:r>
    </w:p>
    <w:tbl>
      <w:tblPr>
        <w:tblStyle w:val="TableGrid"/>
        <w:tblW w:w="0" w:type="auto"/>
        <w:jc w:val="center"/>
        <w:tblLook w:val="04A0" w:firstRow="1" w:lastRow="0" w:firstColumn="1" w:lastColumn="0" w:noHBand="0" w:noVBand="1"/>
      </w:tblPr>
      <w:tblGrid>
        <w:gridCol w:w="3404"/>
        <w:gridCol w:w="3405"/>
        <w:gridCol w:w="3405"/>
      </w:tblGrid>
      <w:tr w:rsidR="00801272" w:rsidRPr="00C80C6F" w14:paraId="5E50F0F0" w14:textId="77777777">
        <w:trPr>
          <w:jc w:val="center"/>
        </w:trPr>
        <w:tc>
          <w:tcPr>
            <w:tcW w:w="3408" w:type="dxa"/>
          </w:tcPr>
          <w:p w14:paraId="0B79BFF0" w14:textId="77777777" w:rsidR="00801272" w:rsidRPr="00C80C6F" w:rsidRDefault="009B7718">
            <w:pPr>
              <w:rPr>
                <w:rFonts w:ascii="Work Sans" w:hAnsi="Work Sans"/>
              </w:rPr>
            </w:pPr>
            <w:r w:rsidRPr="00C80C6F">
              <w:rPr>
                <w:rFonts w:ascii="Work Sans" w:hAnsi="Work Sans"/>
                <w:b/>
              </w:rPr>
              <w:t>Marker</w:t>
            </w:r>
          </w:p>
        </w:tc>
        <w:tc>
          <w:tcPr>
            <w:tcW w:w="3408" w:type="dxa"/>
          </w:tcPr>
          <w:p w14:paraId="58C505B8" w14:textId="77777777" w:rsidR="00801272" w:rsidRPr="00C80C6F" w:rsidRDefault="009B7718">
            <w:pPr>
              <w:rPr>
                <w:rFonts w:ascii="Work Sans" w:hAnsi="Work Sans"/>
              </w:rPr>
            </w:pPr>
            <w:r w:rsidRPr="00C80C6F">
              <w:rPr>
                <w:rFonts w:ascii="Work Sans" w:hAnsi="Work Sans"/>
                <w:b/>
              </w:rPr>
              <w:t>What it indicates</w:t>
            </w:r>
          </w:p>
        </w:tc>
        <w:tc>
          <w:tcPr>
            <w:tcW w:w="3408" w:type="dxa"/>
          </w:tcPr>
          <w:p w14:paraId="19795224" w14:textId="77777777" w:rsidR="00801272" w:rsidRPr="00C80C6F" w:rsidRDefault="009B7718">
            <w:pPr>
              <w:rPr>
                <w:rFonts w:ascii="Work Sans" w:hAnsi="Work Sans"/>
              </w:rPr>
            </w:pPr>
            <w:r w:rsidRPr="00C80C6F">
              <w:rPr>
                <w:rFonts w:ascii="Work Sans" w:hAnsi="Work Sans"/>
                <w:b/>
              </w:rPr>
              <w:t>Typical clinical role</w:t>
            </w:r>
          </w:p>
        </w:tc>
      </w:tr>
      <w:tr w:rsidR="00801272" w:rsidRPr="00C80C6F" w14:paraId="0CE5ED7A" w14:textId="77777777">
        <w:trPr>
          <w:jc w:val="center"/>
        </w:trPr>
        <w:tc>
          <w:tcPr>
            <w:tcW w:w="3408" w:type="dxa"/>
          </w:tcPr>
          <w:p w14:paraId="62381A6D" w14:textId="77777777" w:rsidR="00801272" w:rsidRPr="00C80C6F" w:rsidRDefault="009B7718">
            <w:pPr>
              <w:rPr>
                <w:rFonts w:ascii="Work Sans" w:hAnsi="Work Sans"/>
              </w:rPr>
            </w:pPr>
            <w:r w:rsidRPr="00C80C6F">
              <w:rPr>
                <w:rFonts w:ascii="Work Sans" w:hAnsi="Work Sans"/>
              </w:rPr>
              <w:t>Cardiac troponin I or T</w:t>
            </w:r>
          </w:p>
        </w:tc>
        <w:tc>
          <w:tcPr>
            <w:tcW w:w="3408" w:type="dxa"/>
          </w:tcPr>
          <w:p w14:paraId="1D5AAF60" w14:textId="77777777" w:rsidR="00801272" w:rsidRPr="00C80C6F" w:rsidRDefault="009B7718">
            <w:pPr>
              <w:rPr>
                <w:rFonts w:ascii="Work Sans" w:hAnsi="Work Sans"/>
              </w:rPr>
            </w:pPr>
            <w:r w:rsidRPr="00C80C6F">
              <w:rPr>
                <w:rFonts w:ascii="Work Sans" w:hAnsi="Work Sans"/>
              </w:rPr>
              <w:t>Proteins released when heart muscle cells are injured</w:t>
            </w:r>
          </w:p>
        </w:tc>
        <w:tc>
          <w:tcPr>
            <w:tcW w:w="3408" w:type="dxa"/>
          </w:tcPr>
          <w:p w14:paraId="3B06BF4E" w14:textId="77777777" w:rsidR="00801272" w:rsidRPr="00C80C6F" w:rsidRDefault="009B7718">
            <w:pPr>
              <w:rPr>
                <w:rFonts w:ascii="Work Sans" w:hAnsi="Work Sans"/>
              </w:rPr>
            </w:pPr>
            <w:r w:rsidRPr="00C80C6F">
              <w:rPr>
                <w:rFonts w:ascii="Work Sans" w:hAnsi="Work Sans"/>
              </w:rPr>
              <w:t>Preferred biomarker for suspected acute myocardial injury/heart attack</w:t>
            </w:r>
          </w:p>
        </w:tc>
      </w:tr>
      <w:tr w:rsidR="00801272" w:rsidRPr="00C80C6F" w14:paraId="391E48C9" w14:textId="77777777">
        <w:trPr>
          <w:jc w:val="center"/>
        </w:trPr>
        <w:tc>
          <w:tcPr>
            <w:tcW w:w="3408" w:type="dxa"/>
          </w:tcPr>
          <w:p w14:paraId="6BD42880" w14:textId="77777777" w:rsidR="00801272" w:rsidRPr="00C80C6F" w:rsidRDefault="009B7718">
            <w:pPr>
              <w:rPr>
                <w:rFonts w:ascii="Work Sans" w:hAnsi="Work Sans"/>
              </w:rPr>
            </w:pPr>
            <w:r w:rsidRPr="00C80C6F">
              <w:rPr>
                <w:rFonts w:ascii="Work Sans" w:hAnsi="Work Sans"/>
              </w:rPr>
              <w:t>BNP / NT-proBNP</w:t>
            </w:r>
          </w:p>
        </w:tc>
        <w:tc>
          <w:tcPr>
            <w:tcW w:w="3408" w:type="dxa"/>
          </w:tcPr>
          <w:p w14:paraId="4522A5C5" w14:textId="77777777" w:rsidR="00801272" w:rsidRPr="00C80C6F" w:rsidRDefault="009B7718">
            <w:pPr>
              <w:rPr>
                <w:rFonts w:ascii="Work Sans" w:hAnsi="Work Sans"/>
              </w:rPr>
            </w:pPr>
            <w:r w:rsidRPr="00C80C6F">
              <w:rPr>
                <w:rFonts w:ascii="Work Sans" w:hAnsi="Work Sans"/>
              </w:rPr>
              <w:t>Peptides released when the heart is under increased wall stress</w:t>
            </w:r>
          </w:p>
        </w:tc>
        <w:tc>
          <w:tcPr>
            <w:tcW w:w="3408" w:type="dxa"/>
          </w:tcPr>
          <w:p w14:paraId="5D3E465D" w14:textId="77777777" w:rsidR="00801272" w:rsidRPr="00C80C6F" w:rsidRDefault="009B7718">
            <w:pPr>
              <w:rPr>
                <w:rFonts w:ascii="Work Sans" w:hAnsi="Work Sans"/>
              </w:rPr>
            </w:pPr>
            <w:r w:rsidRPr="00C80C6F">
              <w:rPr>
                <w:rFonts w:ascii="Work Sans" w:hAnsi="Work Sans"/>
              </w:rPr>
              <w:t>Support diagnosis and monitoring of heart failure</w:t>
            </w:r>
          </w:p>
        </w:tc>
      </w:tr>
      <w:tr w:rsidR="00801272" w:rsidRPr="00C80C6F" w14:paraId="1C41BFD3" w14:textId="77777777">
        <w:trPr>
          <w:jc w:val="center"/>
        </w:trPr>
        <w:tc>
          <w:tcPr>
            <w:tcW w:w="3408" w:type="dxa"/>
          </w:tcPr>
          <w:p w14:paraId="59DB092E" w14:textId="77777777" w:rsidR="00801272" w:rsidRPr="00C80C6F" w:rsidRDefault="009B7718">
            <w:pPr>
              <w:rPr>
                <w:rFonts w:ascii="Work Sans" w:hAnsi="Work Sans"/>
              </w:rPr>
            </w:pPr>
            <w:r w:rsidRPr="00C80C6F">
              <w:rPr>
                <w:rFonts w:ascii="Work Sans" w:hAnsi="Work Sans"/>
              </w:rPr>
              <w:t>CK-MB</w:t>
            </w:r>
          </w:p>
        </w:tc>
        <w:tc>
          <w:tcPr>
            <w:tcW w:w="3408" w:type="dxa"/>
          </w:tcPr>
          <w:p w14:paraId="42FC1276" w14:textId="77777777" w:rsidR="00801272" w:rsidRPr="00C80C6F" w:rsidRDefault="009B7718">
            <w:pPr>
              <w:rPr>
                <w:rFonts w:ascii="Work Sans" w:hAnsi="Work Sans"/>
              </w:rPr>
            </w:pPr>
            <w:r w:rsidRPr="00C80C6F">
              <w:rPr>
                <w:rFonts w:ascii="Work Sans" w:hAnsi="Work Sans"/>
              </w:rPr>
              <w:t>An enzyme associated with muscle injury, including heart muscle</w:t>
            </w:r>
          </w:p>
        </w:tc>
        <w:tc>
          <w:tcPr>
            <w:tcW w:w="3408" w:type="dxa"/>
          </w:tcPr>
          <w:p w14:paraId="5B5D1028" w14:textId="77777777" w:rsidR="00801272" w:rsidRPr="00C80C6F" w:rsidRDefault="009B7718">
            <w:pPr>
              <w:rPr>
                <w:rFonts w:ascii="Work Sans" w:hAnsi="Work Sans"/>
              </w:rPr>
            </w:pPr>
            <w:r w:rsidRPr="00C80C6F">
              <w:rPr>
                <w:rFonts w:ascii="Work Sans" w:hAnsi="Work Sans"/>
              </w:rPr>
              <w:t>Used less often than troponin; may have a role in selected situations</w:t>
            </w:r>
          </w:p>
        </w:tc>
      </w:tr>
    </w:tbl>
    <w:p w14:paraId="2168CDB5" w14:textId="77777777" w:rsidR="00801272" w:rsidRPr="00C80C6F" w:rsidRDefault="009B7718" w:rsidP="00C576BD">
      <w:pPr>
        <w:jc w:val="both"/>
        <w:rPr>
          <w:rFonts w:ascii="Work Sans" w:hAnsi="Work Sans"/>
        </w:rPr>
      </w:pPr>
      <w:r w:rsidRPr="00C80C6F">
        <w:rPr>
          <w:rFonts w:ascii="Work Sans" w:hAnsi="Work Sans"/>
          <w:b/>
        </w:rPr>
        <w:t xml:space="preserve">Important: </w:t>
      </w:r>
      <w:r w:rsidRPr="00C80C6F">
        <w:rPr>
          <w:rFonts w:ascii="Work Sans" w:hAnsi="Work Sans"/>
        </w:rPr>
        <w:t>Troponin can rise in conditions other than heart attack, including myocarditis, severe illness and kidney disease. The timing of symptoms and serial measurements are important when assessing acute chest pain.</w:t>
      </w:r>
    </w:p>
    <w:p w14:paraId="4CA85A3E" w14:textId="77777777" w:rsidR="00801272" w:rsidRPr="00C80C6F" w:rsidRDefault="009B7718">
      <w:pPr>
        <w:rPr>
          <w:rFonts w:ascii="Work Sans" w:hAnsi="Work Sans"/>
        </w:rPr>
      </w:pPr>
      <w:r w:rsidRPr="00C80C6F">
        <w:rPr>
          <w:rFonts w:ascii="Work Sans" w:hAnsi="Work Sans"/>
        </w:rPr>
        <w:br w:type="page"/>
      </w:r>
    </w:p>
    <w:p w14:paraId="719ACCEB" w14:textId="24427788"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Sexual Health &amp; STI Testing</w:t>
      </w:r>
    </w:p>
    <w:p w14:paraId="5AB44FC0"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662A6345" wp14:editId="032F2AE8">
            <wp:extent cx="5669280" cy="31875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xual_health_testing_for_sexually_transmitted_infection.jpg"/>
                    <pic:cNvPicPr/>
                  </pic:nvPicPr>
                  <pic:blipFill>
                    <a:blip r:embed="rId17"/>
                    <a:stretch>
                      <a:fillRect/>
                    </a:stretch>
                  </pic:blipFill>
                  <pic:spPr>
                    <a:xfrm>
                      <a:off x="0" y="0"/>
                      <a:ext cx="5669280" cy="3187547"/>
                    </a:xfrm>
                    <a:prstGeom prst="rect">
                      <a:avLst/>
                    </a:prstGeom>
                  </pic:spPr>
                </pic:pic>
              </a:graphicData>
            </a:graphic>
          </wp:inline>
        </w:drawing>
      </w:r>
    </w:p>
    <w:p w14:paraId="526466AB" w14:textId="77777777" w:rsidR="00801272" w:rsidRPr="00C80C6F" w:rsidRDefault="009B7718">
      <w:pPr>
        <w:rPr>
          <w:rFonts w:ascii="Work Sans" w:hAnsi="Work Sans"/>
        </w:rPr>
      </w:pPr>
      <w:r w:rsidRPr="00C80C6F">
        <w:rPr>
          <w:rFonts w:ascii="Work Sans" w:hAnsi="Work Sans"/>
          <w:b/>
        </w:rPr>
        <w:t>Sexually transmitted infections (STIs) can be passed through vaginal, anal or oral sex and through intimate skin-to-skin contact. Many infections cause few or no symptoms, so testing may be appropriate based on symptoms, exposure, sexual history, pregnancy, screening recommendations or partner notification.</w:t>
      </w:r>
    </w:p>
    <w:p w14:paraId="70C399DE" w14:textId="77777777" w:rsidR="00801272" w:rsidRPr="00C80C6F" w:rsidRDefault="009B7718" w:rsidP="00A9687A">
      <w:pPr>
        <w:pStyle w:val="Heading2"/>
        <w:jc w:val="both"/>
        <w:rPr>
          <w:rFonts w:ascii="Work Sans" w:hAnsi="Work Sans"/>
        </w:rPr>
      </w:pPr>
      <w:r w:rsidRPr="00C80C6F">
        <w:rPr>
          <w:rFonts w:ascii="Work Sans" w:hAnsi="Work Sans"/>
        </w:rPr>
        <w:t>Possible targets</w:t>
      </w:r>
    </w:p>
    <w:p w14:paraId="1AF2BB22" w14:textId="77777777" w:rsidR="00801272" w:rsidRPr="00C80C6F" w:rsidRDefault="009B7718" w:rsidP="00A9687A">
      <w:pPr>
        <w:jc w:val="both"/>
        <w:rPr>
          <w:rFonts w:ascii="Work Sans" w:hAnsi="Work Sans"/>
        </w:rPr>
      </w:pPr>
      <w:r w:rsidRPr="00C80C6F">
        <w:rPr>
          <w:rFonts w:ascii="Work Sans" w:hAnsi="Work Sans"/>
        </w:rPr>
        <w:t>Depending on the laboratory assay and clinical indication, molecular testing may target organisms such as Chlamydia trachomatis, Neisseria gonorrhoeae, Mycoplasma genitalium, Trichomonas vaginalis and Treponema pallidum, as well as selected viral targets such as HSV-1/HSV-2.</w:t>
      </w:r>
    </w:p>
    <w:p w14:paraId="6D01C6F7" w14:textId="77777777" w:rsidR="00801272" w:rsidRPr="00C80C6F" w:rsidRDefault="009B7718" w:rsidP="00A9687A">
      <w:pPr>
        <w:pStyle w:val="Heading2"/>
        <w:jc w:val="both"/>
        <w:rPr>
          <w:rFonts w:ascii="Work Sans" w:hAnsi="Work Sans"/>
        </w:rPr>
      </w:pPr>
      <w:r w:rsidRPr="00C80C6F">
        <w:rPr>
          <w:rFonts w:ascii="Work Sans" w:hAnsi="Work Sans"/>
        </w:rPr>
        <w:t>Important assay note</w:t>
      </w:r>
    </w:p>
    <w:p w14:paraId="783AD3BC" w14:textId="77777777" w:rsidR="00801272" w:rsidRPr="00C80C6F" w:rsidRDefault="009B7718" w:rsidP="00A9687A">
      <w:pPr>
        <w:jc w:val="both"/>
        <w:rPr>
          <w:rFonts w:ascii="Work Sans" w:hAnsi="Work Sans"/>
        </w:rPr>
      </w:pPr>
      <w:r w:rsidRPr="00C80C6F">
        <w:rPr>
          <w:rFonts w:ascii="Work Sans" w:hAnsi="Work Sans"/>
        </w:rPr>
        <w:t>Some organisms included in commercial multiplex panels—such as Candida species, Gardnerella vaginalis, Ureaplasma species or Mycoplasma hominis—may represent colonization or conditions that require clinical correlation rather than automatic treatment. A positive molecular result does not always mean that treatment is indicated.</w:t>
      </w:r>
    </w:p>
    <w:p w14:paraId="03D9C39E" w14:textId="77777777" w:rsidR="00801272" w:rsidRPr="00C80C6F" w:rsidRDefault="009B7718" w:rsidP="00A9687A">
      <w:pPr>
        <w:pStyle w:val="Heading2"/>
        <w:jc w:val="both"/>
        <w:rPr>
          <w:rFonts w:ascii="Work Sans" w:hAnsi="Work Sans"/>
        </w:rPr>
      </w:pPr>
      <w:r w:rsidRPr="00C80C6F">
        <w:rPr>
          <w:rFonts w:ascii="Work Sans" w:hAnsi="Work Sans"/>
        </w:rPr>
        <w:t>Why testing matters</w:t>
      </w:r>
    </w:p>
    <w:p w14:paraId="543242AA" w14:textId="77777777" w:rsidR="00801272" w:rsidRPr="00C80C6F" w:rsidRDefault="009B7718" w:rsidP="00A9687A">
      <w:pPr>
        <w:jc w:val="both"/>
        <w:rPr>
          <w:rFonts w:ascii="Work Sans" w:hAnsi="Work Sans"/>
        </w:rPr>
      </w:pPr>
      <w:r w:rsidRPr="00C80C6F">
        <w:rPr>
          <w:rFonts w:ascii="Work Sans" w:hAnsi="Work Sans"/>
        </w:rPr>
        <w:t>Early diagnosis can reduce complications and transmission. Treatment depends on the organism, symptoms, pregnancy status, site of infection and current clinical guidance.</w:t>
      </w:r>
    </w:p>
    <w:p w14:paraId="27344B6D" w14:textId="77777777" w:rsidR="00801272" w:rsidRPr="00C80C6F" w:rsidRDefault="009B7718" w:rsidP="00A9687A">
      <w:pPr>
        <w:jc w:val="both"/>
        <w:rPr>
          <w:rFonts w:ascii="Work Sans" w:hAnsi="Work Sans"/>
        </w:rPr>
      </w:pPr>
      <w:r w:rsidRPr="00C80C6F">
        <w:rPr>
          <w:rFonts w:ascii="Work Sans" w:hAnsi="Work Sans"/>
          <w:b/>
        </w:rPr>
        <w:t xml:space="preserve">Important: </w:t>
      </w:r>
      <w:r w:rsidRPr="00C80C6F">
        <w:rPr>
          <w:rFonts w:ascii="Work Sans" w:hAnsi="Work Sans"/>
        </w:rPr>
        <w:t>Specimen type matters. Depending on the suspected infection, testing may use urine, vaginal/cervical, urethral, rectal, pharyngeal, lesion or blood specimens.</w:t>
      </w:r>
    </w:p>
    <w:p w14:paraId="1C3E5C02" w14:textId="77777777" w:rsidR="00801272" w:rsidRPr="00C80C6F" w:rsidRDefault="009B7718">
      <w:pPr>
        <w:rPr>
          <w:rFonts w:ascii="Work Sans" w:hAnsi="Work Sans"/>
        </w:rPr>
      </w:pPr>
      <w:r w:rsidRPr="00C80C6F">
        <w:rPr>
          <w:rFonts w:ascii="Work Sans" w:hAnsi="Work Sans"/>
        </w:rPr>
        <w:br w:type="page"/>
      </w:r>
    </w:p>
    <w:p w14:paraId="1F5C702D" w14:textId="3DAE806C" w:rsidR="00801272" w:rsidRPr="00C80C6F" w:rsidRDefault="009B7718" w:rsidP="00764806">
      <w:pPr>
        <w:pStyle w:val="Heading1"/>
        <w:numPr>
          <w:ilvl w:val="0"/>
          <w:numId w:val="10"/>
        </w:numPr>
        <w:rPr>
          <w:rFonts w:ascii="Work Sans" w:hAnsi="Work Sans"/>
        </w:rPr>
      </w:pPr>
      <w:r w:rsidRPr="00C80C6F">
        <w:rPr>
          <w:rFonts w:ascii="Work Sans" w:hAnsi="Work Sans"/>
        </w:rPr>
        <w:lastRenderedPageBreak/>
        <w:t>Cervical Screening &amp; HPV Genotyping</w:t>
      </w:r>
    </w:p>
    <w:p w14:paraId="384831B6" w14:textId="77777777" w:rsidR="00801272" w:rsidRPr="00C80C6F" w:rsidRDefault="009B7718">
      <w:pPr>
        <w:jc w:val="center"/>
        <w:rPr>
          <w:rFonts w:ascii="Work Sans" w:hAnsi="Work Sans"/>
        </w:rPr>
      </w:pPr>
      <w:r w:rsidRPr="00C80C6F">
        <w:rPr>
          <w:rFonts w:ascii="Work Sans" w:hAnsi="Work Sans"/>
          <w:noProof/>
        </w:rPr>
        <w:drawing>
          <wp:inline distT="0" distB="0" distL="0" distR="0" wp14:anchorId="438DBBC8" wp14:editId="2F69B5A9">
            <wp:extent cx="5669280" cy="31893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vical_screening_for_human_papillomavirus.jpg"/>
                    <pic:cNvPicPr/>
                  </pic:nvPicPr>
                  <pic:blipFill>
                    <a:blip r:embed="rId18"/>
                    <a:stretch>
                      <a:fillRect/>
                    </a:stretch>
                  </pic:blipFill>
                  <pic:spPr>
                    <a:xfrm>
                      <a:off x="0" y="0"/>
                      <a:ext cx="5669280" cy="3189362"/>
                    </a:xfrm>
                    <a:prstGeom prst="rect">
                      <a:avLst/>
                    </a:prstGeom>
                  </pic:spPr>
                </pic:pic>
              </a:graphicData>
            </a:graphic>
          </wp:inline>
        </w:drawing>
      </w:r>
    </w:p>
    <w:p w14:paraId="44A7D1E8" w14:textId="77777777" w:rsidR="00801272" w:rsidRPr="00C80C6F" w:rsidRDefault="009B7718">
      <w:pPr>
        <w:rPr>
          <w:rFonts w:ascii="Work Sans" w:hAnsi="Work Sans"/>
        </w:rPr>
      </w:pPr>
      <w:r w:rsidRPr="00C80C6F">
        <w:rPr>
          <w:rFonts w:ascii="Work Sans" w:hAnsi="Work Sans"/>
          <w:b/>
        </w:rPr>
        <w:t>Human papillomavirus (HPV) is a very common infection. Persistent infection with certain high-risk HPV types can cause cellular changes that may progress to cervical cancer. HPV testing is therefore an important component of cervical-cancer prevention.</w:t>
      </w:r>
    </w:p>
    <w:p w14:paraId="752C935C" w14:textId="77777777" w:rsidR="00801272" w:rsidRPr="00C80C6F" w:rsidRDefault="009B7718">
      <w:pPr>
        <w:pStyle w:val="Heading2"/>
        <w:rPr>
          <w:rFonts w:ascii="Work Sans" w:hAnsi="Work Sans"/>
        </w:rPr>
      </w:pPr>
      <w:r w:rsidRPr="00C80C6F">
        <w:rPr>
          <w:rFonts w:ascii="Work Sans" w:hAnsi="Work Sans"/>
        </w:rPr>
        <w:t>What the test detects</w:t>
      </w:r>
    </w:p>
    <w:p w14:paraId="4A1E27B5" w14:textId="77777777" w:rsidR="00801272" w:rsidRPr="00C80C6F" w:rsidRDefault="009B7718">
      <w:pPr>
        <w:rPr>
          <w:rFonts w:ascii="Work Sans" w:hAnsi="Work Sans"/>
        </w:rPr>
      </w:pPr>
      <w:r w:rsidRPr="00C80C6F">
        <w:rPr>
          <w:rFonts w:ascii="Work Sans" w:hAnsi="Work Sans"/>
        </w:rPr>
        <w:t>HPV genotyping assays detect DNA from selected HPV types in cervical specimens. The exact types reported depend on the validated assay used by the laboratory.</w:t>
      </w:r>
    </w:p>
    <w:p w14:paraId="01E62B31" w14:textId="77777777" w:rsidR="00801272" w:rsidRPr="00C80C6F" w:rsidRDefault="009B7718">
      <w:pPr>
        <w:pStyle w:val="Heading2"/>
        <w:rPr>
          <w:rFonts w:ascii="Work Sans" w:hAnsi="Work Sans"/>
        </w:rPr>
      </w:pPr>
      <w:r w:rsidRPr="00C80C6F">
        <w:rPr>
          <w:rFonts w:ascii="Work Sans" w:hAnsi="Work Sans"/>
        </w:rPr>
        <w:t>High-risk HPV</w:t>
      </w:r>
    </w:p>
    <w:p w14:paraId="7613A182" w14:textId="77777777" w:rsidR="00801272" w:rsidRPr="00C80C6F" w:rsidRDefault="009B7718">
      <w:pPr>
        <w:rPr>
          <w:rFonts w:ascii="Work Sans" w:hAnsi="Work Sans"/>
        </w:rPr>
      </w:pPr>
      <w:r w:rsidRPr="00C80C6F">
        <w:rPr>
          <w:rFonts w:ascii="Work Sans" w:hAnsi="Work Sans"/>
        </w:rPr>
        <w:t>High-risk types include HPV 16 and 18 and several other oncogenic types. A positive high-risk HPV result does not mean that cancer is present; it identifies an infection that may require risk-based follow-up.</w:t>
      </w:r>
    </w:p>
    <w:p w14:paraId="6A27E699" w14:textId="77777777" w:rsidR="00801272" w:rsidRPr="00C80C6F" w:rsidRDefault="009B7718">
      <w:pPr>
        <w:pStyle w:val="Heading2"/>
        <w:rPr>
          <w:rFonts w:ascii="Work Sans" w:hAnsi="Work Sans"/>
        </w:rPr>
      </w:pPr>
      <w:r w:rsidRPr="00C80C6F">
        <w:rPr>
          <w:rFonts w:ascii="Work Sans" w:hAnsi="Work Sans"/>
        </w:rPr>
        <w:t>Low-risk HPV</w:t>
      </w:r>
    </w:p>
    <w:p w14:paraId="17C65B6B" w14:textId="77777777" w:rsidR="00801272" w:rsidRPr="00C80C6F" w:rsidRDefault="009B7718">
      <w:pPr>
        <w:rPr>
          <w:rFonts w:ascii="Work Sans" w:hAnsi="Work Sans"/>
        </w:rPr>
      </w:pPr>
      <w:r w:rsidRPr="00C80C6F">
        <w:rPr>
          <w:rFonts w:ascii="Work Sans" w:hAnsi="Work Sans"/>
        </w:rPr>
        <w:t>Types such as HPV 6 and 11 are commonly associated with genital warts and are not considered major causes of cervical cancer.</w:t>
      </w:r>
    </w:p>
    <w:p w14:paraId="2FADD790" w14:textId="77777777" w:rsidR="00801272" w:rsidRPr="00C80C6F" w:rsidRDefault="009B7718">
      <w:pPr>
        <w:pStyle w:val="Heading2"/>
        <w:rPr>
          <w:rFonts w:ascii="Work Sans" w:hAnsi="Work Sans"/>
        </w:rPr>
      </w:pPr>
      <w:r w:rsidRPr="00C80C6F">
        <w:rPr>
          <w:rFonts w:ascii="Work Sans" w:hAnsi="Work Sans"/>
        </w:rPr>
        <w:t>Why screening matters</w:t>
      </w:r>
    </w:p>
    <w:p w14:paraId="3B3371ED" w14:textId="77777777" w:rsidR="00801272" w:rsidRPr="00C80C6F" w:rsidRDefault="009B7718">
      <w:pPr>
        <w:rPr>
          <w:rFonts w:ascii="Work Sans" w:hAnsi="Work Sans"/>
        </w:rPr>
      </w:pPr>
      <w:r w:rsidRPr="00C80C6F">
        <w:rPr>
          <w:rFonts w:ascii="Work Sans" w:hAnsi="Work Sans"/>
        </w:rPr>
        <w:t>Cervical screening can identify HPV infection or precancerous cellular changes early, allowing appropriate surveillance or treatment before invasive cancer develops.</w:t>
      </w:r>
    </w:p>
    <w:p w14:paraId="3FA656EE" w14:textId="77777777" w:rsidR="00801272" w:rsidRPr="00C80C6F" w:rsidRDefault="009B7718">
      <w:pPr>
        <w:rPr>
          <w:rFonts w:ascii="Work Sans" w:hAnsi="Work Sans"/>
        </w:rPr>
      </w:pPr>
      <w:r w:rsidRPr="00C80C6F">
        <w:rPr>
          <w:rFonts w:ascii="Work Sans" w:hAnsi="Work Sans"/>
          <w:b/>
        </w:rPr>
        <w:t xml:space="preserve">Important: </w:t>
      </w:r>
      <w:r w:rsidRPr="00C80C6F">
        <w:rPr>
          <w:rFonts w:ascii="Work Sans" w:hAnsi="Work Sans"/>
        </w:rPr>
        <w:t>Follow-up after a positive HPV result depends on the person's age, screening history, HPV type, cytology result and local screening programme. Laboratory results should be interpreted using the applicable national guideline.</w:t>
      </w:r>
    </w:p>
    <w:p w14:paraId="22114282" w14:textId="2571A2ED" w:rsidR="00801272" w:rsidRPr="00C80C6F" w:rsidRDefault="00801272" w:rsidP="00C80C6F">
      <w:pPr>
        <w:rPr>
          <w:rFonts w:ascii="Work Sans" w:hAnsi="Work Sans"/>
        </w:rPr>
      </w:pPr>
    </w:p>
    <w:sectPr w:rsidR="00801272" w:rsidRPr="00C80C6F"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Work Sans">
    <w:panose1 w:val="00000000000000000000"/>
    <w:charset w:val="4D"/>
    <w:family w:val="auto"/>
    <w:pitch w:val="variable"/>
    <w:sig w:usb0="A00000FF" w:usb1="5000E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8E70A8"/>
    <w:multiLevelType w:val="hybridMultilevel"/>
    <w:tmpl w:val="D2D258E4"/>
    <w:lvl w:ilvl="0" w:tplc="1B9EF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2005377">
    <w:abstractNumId w:val="8"/>
  </w:num>
  <w:num w:numId="2" w16cid:durableId="1647736797">
    <w:abstractNumId w:val="6"/>
  </w:num>
  <w:num w:numId="3" w16cid:durableId="621232405">
    <w:abstractNumId w:val="5"/>
  </w:num>
  <w:num w:numId="4" w16cid:durableId="894776410">
    <w:abstractNumId w:val="4"/>
  </w:num>
  <w:num w:numId="5" w16cid:durableId="906954995">
    <w:abstractNumId w:val="7"/>
  </w:num>
  <w:num w:numId="6" w16cid:durableId="2082217844">
    <w:abstractNumId w:val="3"/>
  </w:num>
  <w:num w:numId="7" w16cid:durableId="1685286149">
    <w:abstractNumId w:val="2"/>
  </w:num>
  <w:num w:numId="8" w16cid:durableId="225917232">
    <w:abstractNumId w:val="1"/>
  </w:num>
  <w:num w:numId="9" w16cid:durableId="188960150">
    <w:abstractNumId w:val="0"/>
  </w:num>
  <w:num w:numId="10" w16cid:durableId="6037418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F6B3F"/>
    <w:rsid w:val="00764806"/>
    <w:rsid w:val="00801272"/>
    <w:rsid w:val="009B7718"/>
    <w:rsid w:val="00A9687A"/>
    <w:rsid w:val="00AA1D8D"/>
    <w:rsid w:val="00B47730"/>
    <w:rsid w:val="00BE4EE6"/>
    <w:rsid w:val="00C576BD"/>
    <w:rsid w:val="00C80C6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732B69"/>
  <w14:defaultImageDpi w14:val="300"/>
  <w15:docId w15:val="{55881749-BA1F-8C4F-8A8E-77A51CB0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16</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Victor Lamin</cp:lastModifiedBy>
  <cp:revision>1</cp:revision>
  <dcterms:created xsi:type="dcterms:W3CDTF">2026-08-29T17:43:00Z</dcterms:created>
  <dcterms:modified xsi:type="dcterms:W3CDTF">2026-09-19T02:24:00Z</dcterms:modified>
  <cp:category/>
</cp:coreProperties>
</file>